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FD" w:rsidRDefault="00436E74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创造型领导</w:t>
      </w:r>
      <w:r w:rsidR="00327F91">
        <w:rPr>
          <w:rFonts w:ascii="黑体" w:eastAsia="黑体" w:hAnsi="黑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温利群</w:t>
      </w:r>
      <w:r w:rsidR="00104A07">
        <w:rPr>
          <w:rFonts w:ascii="黑体" w:eastAsia="黑体" w:hAnsi="黑体" w:hint="eastAsia"/>
          <w:sz w:val="24"/>
        </w:rPr>
        <w:t>等</w:t>
      </w:r>
      <w:r w:rsidR="00327F91">
        <w:rPr>
          <w:rFonts w:ascii="黑体" w:eastAsia="黑体" w:hAnsi="黑体" w:hint="eastAsia"/>
          <w:sz w:val="24"/>
        </w:rPr>
        <w:t>，20</w:t>
      </w:r>
      <w:r w:rsidR="006C1B60">
        <w:rPr>
          <w:rFonts w:ascii="黑体" w:eastAsia="黑体" w:hAnsi="黑体" w:hint="eastAsia"/>
          <w:sz w:val="24"/>
        </w:rPr>
        <w:t>17</w:t>
      </w:r>
      <w:r w:rsidR="00327F91">
        <w:rPr>
          <w:rFonts w:ascii="黑体" w:eastAsia="黑体" w:hAnsi="黑体" w:hint="eastAsia"/>
          <w:sz w:val="24"/>
        </w:rPr>
        <w:t>）</w:t>
      </w:r>
    </w:p>
    <w:p w:rsidR="00090EFD" w:rsidRDefault="00327F91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</w:t>
      </w:r>
      <w:r w:rsidR="00436E74">
        <w:rPr>
          <w:rFonts w:ascii="黑体" w:eastAsia="黑体" w:hAnsi="黑体" w:hint="eastAsia"/>
          <w:sz w:val="24"/>
        </w:rPr>
        <w:t>creative</w:t>
      </w:r>
      <w:r w:rsidR="00436E74">
        <w:rPr>
          <w:rFonts w:ascii="黑体" w:eastAsia="黑体" w:hAnsi="黑体"/>
          <w:sz w:val="24"/>
        </w:rPr>
        <w:t xml:space="preserve"> leadership</w:t>
      </w:r>
      <w:r>
        <w:rPr>
          <w:rFonts w:ascii="黑体" w:eastAsia="黑体" w:hAnsi="黑体" w:hint="eastAsia"/>
          <w:sz w:val="24"/>
        </w:rPr>
        <w:t xml:space="preserve"> ,</w:t>
      </w:r>
      <w:r w:rsidR="00436E74">
        <w:rPr>
          <w:rFonts w:ascii="黑体" w:eastAsia="黑体" w:hAnsi="黑体"/>
          <w:sz w:val="24"/>
        </w:rPr>
        <w:t>CL</w:t>
      </w:r>
      <w:r>
        <w:rPr>
          <w:rFonts w:ascii="黑体" w:eastAsia="黑体" w:hAnsi="黑体" w:hint="eastAsia"/>
          <w:sz w:val="24"/>
        </w:rPr>
        <w:t>）</w:t>
      </w:r>
    </w:p>
    <w:p w:rsidR="00090EFD" w:rsidRDefault="00090EFD">
      <w:pPr>
        <w:spacing w:line="312" w:lineRule="auto"/>
        <w:rPr>
          <w:rFonts w:ascii="宋体" w:hAnsi="宋体"/>
          <w:szCs w:val="21"/>
        </w:rPr>
      </w:pP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:rsidR="006C1B60" w:rsidRDefault="00436E74">
      <w:pPr>
        <w:spacing w:line="312" w:lineRule="auto"/>
        <w:ind w:firstLine="420"/>
      </w:pPr>
      <w:proofErr w:type="spellStart"/>
      <w:r>
        <w:rPr>
          <w:rFonts w:hint="eastAsia"/>
        </w:rPr>
        <w:t>Mainemelis</w:t>
      </w:r>
      <w:proofErr w:type="spellEnd"/>
      <w:r>
        <w:rPr>
          <w:rFonts w:hint="eastAsia"/>
        </w:rPr>
        <w:t>等学者所提出的“创造型领导力（</w:t>
      </w:r>
      <w:r>
        <w:rPr>
          <w:rFonts w:hint="eastAsia"/>
        </w:rPr>
        <w:t>creative</w:t>
      </w:r>
      <w:r>
        <w:t xml:space="preserve"> </w:t>
      </w:r>
      <w:r>
        <w:rPr>
          <w:rFonts w:hint="eastAsia"/>
        </w:rPr>
        <w:t>leadership</w:t>
      </w:r>
      <w:r>
        <w:rPr>
          <w:rFonts w:hint="eastAsia"/>
        </w:rPr>
        <w:t>）”认为，有时领导者的</w:t>
      </w:r>
      <w:r w:rsidR="00143797">
        <w:rPr>
          <w:rFonts w:hint="eastAsia"/>
        </w:rPr>
        <w:t>领导方式本身不是创造力绩效，但是却对</w:t>
      </w:r>
      <w:r>
        <w:rPr>
          <w:rFonts w:hint="eastAsia"/>
        </w:rPr>
        <w:t>创造力</w:t>
      </w:r>
      <w:r w:rsidR="00143797">
        <w:rPr>
          <w:rFonts w:hint="eastAsia"/>
        </w:rPr>
        <w:t>过程起着重要的支持作用。在此基础上，温利群等（</w:t>
      </w:r>
      <w:r w:rsidR="00143797">
        <w:rPr>
          <w:rFonts w:hint="eastAsia"/>
        </w:rPr>
        <w:t>2017</w:t>
      </w:r>
      <w:r w:rsidR="00143797">
        <w:rPr>
          <w:rFonts w:hint="eastAsia"/>
        </w:rPr>
        <w:t>）将创造型领导力区分为“创造型的工作者”和“创造型的管理者”两个方面，前者关注于领导行为理论的“任务导向”，后者关注于“员工导向”。</w:t>
      </w:r>
    </w:p>
    <w:p w:rsidR="00090EFD" w:rsidRDefault="00090EFD">
      <w:pPr>
        <w:spacing w:line="312" w:lineRule="auto"/>
        <w:ind w:firstLine="420"/>
      </w:pP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:rsidR="00A43C60" w:rsidRPr="00104A07" w:rsidRDefault="00104A07" w:rsidP="00A43C60">
      <w:pPr>
        <w:spacing w:line="360" w:lineRule="auto"/>
        <w:ind w:firstLine="420"/>
      </w:pPr>
      <w:r>
        <w:rPr>
          <w:rFonts w:hint="eastAsia"/>
        </w:rPr>
        <w:t>该量表共有</w:t>
      </w:r>
      <w:r>
        <w:rPr>
          <w:rFonts w:hint="eastAsia"/>
        </w:rPr>
        <w:t>12</w:t>
      </w:r>
      <w:r>
        <w:rPr>
          <w:rFonts w:hint="eastAsia"/>
        </w:rPr>
        <w:t>个测量题项，</w:t>
      </w:r>
      <w:r>
        <w:rPr>
          <w:rFonts w:hint="eastAsia"/>
        </w:rPr>
        <w:t>Cronbach</w:t>
      </w:r>
      <w:r>
        <w:t>’s α</w:t>
      </w:r>
      <w:r w:rsidRPr="00104A07">
        <w:t>系数</w:t>
      </w:r>
      <w:r>
        <w:rPr>
          <w:rFonts w:hint="eastAsia"/>
        </w:rPr>
        <w:t>分别为</w:t>
      </w:r>
      <w:r>
        <w:rPr>
          <w:rFonts w:hint="eastAsia"/>
        </w:rPr>
        <w:t>0.</w:t>
      </w:r>
      <w:r w:rsidR="00143797">
        <w:t>85</w:t>
      </w:r>
      <w:r>
        <w:rPr>
          <w:rFonts w:hint="eastAsia"/>
        </w:rPr>
        <w:t>，</w:t>
      </w:r>
      <w:r>
        <w:rPr>
          <w:rFonts w:hint="eastAsia"/>
        </w:rPr>
        <w:t>0.</w:t>
      </w:r>
      <w:r w:rsidR="00143797">
        <w:t>92</w:t>
      </w:r>
      <w:r>
        <w:rPr>
          <w:rFonts w:hint="eastAsia"/>
        </w:rPr>
        <w:t>，</w:t>
      </w:r>
      <w:r>
        <w:rPr>
          <w:rFonts w:hint="eastAsia"/>
        </w:rPr>
        <w:t>AVE</w:t>
      </w:r>
      <w:r>
        <w:rPr>
          <w:rFonts w:hint="eastAsia"/>
        </w:rPr>
        <w:t>分别为</w:t>
      </w:r>
      <w:r>
        <w:rPr>
          <w:rFonts w:hint="eastAsia"/>
        </w:rPr>
        <w:t>0.</w:t>
      </w:r>
      <w:r w:rsidR="00143797">
        <w:t>49</w:t>
      </w:r>
      <w:r>
        <w:rPr>
          <w:rFonts w:hint="eastAsia"/>
        </w:rPr>
        <w:t>，</w:t>
      </w:r>
      <w:r w:rsidR="00143797">
        <w:t>0.66</w:t>
      </w:r>
      <w:r w:rsidR="00143797">
        <w:rPr>
          <w:rFonts w:hint="eastAsia"/>
        </w:rPr>
        <w:t>，</w:t>
      </w:r>
      <w:r>
        <w:rPr>
          <w:rFonts w:hint="eastAsia"/>
        </w:rPr>
        <w:t>具有可接受的信度与效度。</w:t>
      </w:r>
    </w:p>
    <w:p w:rsidR="00090EFD" w:rsidRDefault="00090EFD">
      <w:pPr>
        <w:spacing w:line="312" w:lineRule="auto"/>
        <w:ind w:firstLine="420"/>
        <w:rPr>
          <w:rFonts w:ascii="宋体" w:hAnsi="宋体"/>
          <w:szCs w:val="21"/>
        </w:rPr>
      </w:pP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tbl>
      <w:tblPr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6837"/>
      </w:tblGrid>
      <w:tr w:rsidR="00143797" w:rsidRPr="0017344F" w:rsidTr="00881B0D">
        <w:tc>
          <w:tcPr>
            <w:tcW w:w="1656" w:type="dxa"/>
            <w:vMerge w:val="restart"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创造型的工作者</w:t>
            </w:r>
          </w:p>
        </w:tc>
        <w:tc>
          <w:tcPr>
            <w:tcW w:w="0" w:type="auto"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对工作事务有自己独特的、正确的见解</w:t>
            </w:r>
          </w:p>
        </w:tc>
      </w:tr>
      <w:tr w:rsidR="00143797" w:rsidRPr="0017344F" w:rsidTr="00881B0D">
        <w:tc>
          <w:tcPr>
            <w:tcW w:w="1656" w:type="dxa"/>
            <w:vMerge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对问题总有新鲜的解决方法</w:t>
            </w:r>
          </w:p>
        </w:tc>
      </w:tr>
      <w:tr w:rsidR="00143797" w:rsidRPr="0017344F" w:rsidTr="00881B0D">
        <w:tc>
          <w:tcPr>
            <w:tcW w:w="1656" w:type="dxa"/>
            <w:vMerge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能提出创造性的方法来解决问题</w:t>
            </w:r>
          </w:p>
        </w:tc>
      </w:tr>
      <w:tr w:rsidR="00143797" w:rsidRPr="0017344F" w:rsidTr="00881B0D">
        <w:tc>
          <w:tcPr>
            <w:tcW w:w="1656" w:type="dxa"/>
            <w:vMerge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工作经验丰富，掌握了核心知识或技术</w:t>
            </w:r>
          </w:p>
        </w:tc>
      </w:tr>
      <w:tr w:rsidR="00143797" w:rsidRPr="0017344F" w:rsidTr="00881B0D">
        <w:tc>
          <w:tcPr>
            <w:tcW w:w="1656" w:type="dxa"/>
            <w:vMerge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143797" w:rsidRDefault="00143797" w:rsidP="0017344F">
            <w:pPr>
              <w:spacing w:line="312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会寻找新的技术、过程、科技或产品创意</w:t>
            </w:r>
          </w:p>
        </w:tc>
      </w:tr>
      <w:tr w:rsidR="00143797" w:rsidRPr="0017344F" w:rsidTr="00881B0D">
        <w:tc>
          <w:tcPr>
            <w:tcW w:w="1656" w:type="dxa"/>
            <w:vMerge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143797" w:rsidRDefault="00143797" w:rsidP="0017344F">
            <w:pPr>
              <w:spacing w:line="312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不害怕承担风险</w:t>
            </w:r>
          </w:p>
        </w:tc>
      </w:tr>
      <w:tr w:rsidR="00143797" w:rsidRPr="0017344F" w:rsidTr="00881B0D">
        <w:tc>
          <w:tcPr>
            <w:tcW w:w="1656" w:type="dxa"/>
            <w:vMerge w:val="restart"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创造型的管理者</w:t>
            </w:r>
          </w:p>
        </w:tc>
        <w:tc>
          <w:tcPr>
            <w:tcW w:w="0" w:type="auto"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将工作变得有趣或有挑战性，增加员工的成就感</w:t>
            </w:r>
          </w:p>
        </w:tc>
      </w:tr>
      <w:tr w:rsidR="00143797" w:rsidRPr="0017344F" w:rsidTr="00881B0D">
        <w:tc>
          <w:tcPr>
            <w:tcW w:w="1656" w:type="dxa"/>
            <w:vMerge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用新鲜的方式激发员工的创造型</w:t>
            </w:r>
          </w:p>
        </w:tc>
      </w:tr>
      <w:tr w:rsidR="00143797" w:rsidRPr="0017344F" w:rsidTr="00881B0D">
        <w:tc>
          <w:tcPr>
            <w:tcW w:w="1656" w:type="dxa"/>
            <w:vMerge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将创造力或创新作为团队的目标</w:t>
            </w:r>
          </w:p>
        </w:tc>
      </w:tr>
      <w:tr w:rsidR="00143797" w:rsidRPr="0017344F" w:rsidTr="00881B0D">
        <w:tc>
          <w:tcPr>
            <w:tcW w:w="1656" w:type="dxa"/>
            <w:vMerge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会积极推动新想法、新建议的实施和执行</w:t>
            </w:r>
          </w:p>
        </w:tc>
      </w:tr>
      <w:tr w:rsidR="00143797" w:rsidRPr="0017344F" w:rsidTr="00881B0D">
        <w:tc>
          <w:tcPr>
            <w:tcW w:w="1656" w:type="dxa"/>
            <w:vMerge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143797" w:rsidRDefault="00143797" w:rsidP="0017344F">
            <w:pPr>
              <w:spacing w:line="312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会学习和应用新的管理思想和管理方式</w:t>
            </w:r>
          </w:p>
        </w:tc>
      </w:tr>
      <w:tr w:rsidR="00143797" w:rsidRPr="0017344F" w:rsidTr="00881B0D">
        <w:tc>
          <w:tcPr>
            <w:tcW w:w="1656" w:type="dxa"/>
            <w:vMerge/>
            <w:shd w:val="clear" w:color="auto" w:fill="auto"/>
          </w:tcPr>
          <w:p w:rsidR="00143797" w:rsidRPr="0017344F" w:rsidRDefault="00143797" w:rsidP="0017344F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143797" w:rsidRDefault="00143797" w:rsidP="0017344F">
            <w:pPr>
              <w:spacing w:line="312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鼓励和拥护员工的想法</w:t>
            </w:r>
          </w:p>
        </w:tc>
      </w:tr>
    </w:tbl>
    <w:p w:rsidR="00090EFD" w:rsidRDefault="00090EFD">
      <w:pPr>
        <w:spacing w:line="312" w:lineRule="auto"/>
        <w:ind w:firstLine="420"/>
      </w:pP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090EFD" w:rsidRPr="00AE32D3" w:rsidRDefault="00DA1744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温利群</w:t>
      </w:r>
      <w:r w:rsidR="00AE32D3">
        <w:rPr>
          <w:rFonts w:ascii="宋体" w:hAnsi="宋体" w:cs="Arial"/>
          <w:color w:val="000000"/>
          <w:kern w:val="0"/>
          <w:szCs w:val="21"/>
          <w:shd w:val="clear" w:color="auto" w:fill="FFFFFF"/>
        </w:rPr>
        <w:t>,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周明建</w:t>
      </w:r>
      <w:r w:rsidR="00315C2F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,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陆强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. (201</w:t>
      </w:r>
      <w:r w:rsidR="00315C2F">
        <w:rPr>
          <w:rFonts w:ascii="宋体" w:hAnsi="宋体" w:cs="Arial"/>
          <w:color w:val="000000"/>
          <w:kern w:val="0"/>
          <w:szCs w:val="21"/>
          <w:shd w:val="clear" w:color="auto" w:fill="FFFFFF"/>
        </w:rPr>
        <w:t>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). 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创造型领导力对下属创造力的影响研究：量表开发与验证. 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管理评论, </w:t>
      </w:r>
      <w:r w:rsidR="00AE32D3">
        <w:rPr>
          <w:rFonts w:ascii="宋体" w:hAnsi="宋体" w:cs="Arial"/>
          <w:color w:val="000000"/>
          <w:kern w:val="0"/>
          <w:szCs w:val="21"/>
          <w:shd w:val="clear" w:color="auto" w:fill="FFFFFF"/>
        </w:rPr>
        <w:t>29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</w:t>
      </w:r>
      <w:r w:rsidR="00AE32D3">
        <w:rPr>
          <w:rFonts w:ascii="宋体" w:hAnsi="宋体" w:cs="Arial"/>
          <w:color w:val="000000"/>
          <w:kern w:val="0"/>
          <w:szCs w:val="21"/>
          <w:shd w:val="clear" w:color="auto" w:fill="FFFFFF"/>
        </w:rPr>
        <w:t>2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), </w:t>
      </w:r>
      <w:r>
        <w:rPr>
          <w:rFonts w:ascii="宋体" w:hAnsi="宋体" w:cs="Arial"/>
          <w:color w:val="000000"/>
          <w:kern w:val="0"/>
          <w:szCs w:val="21"/>
          <w:shd w:val="clear" w:color="auto" w:fill="FFFFFF"/>
        </w:rPr>
        <w:t>130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–</w:t>
      </w:r>
      <w:r>
        <w:rPr>
          <w:rFonts w:ascii="宋体" w:hAnsi="宋体" w:cs="Arial"/>
          <w:color w:val="000000"/>
          <w:kern w:val="0"/>
          <w:szCs w:val="21"/>
          <w:shd w:val="clear" w:color="auto" w:fill="FFFFFF"/>
        </w:rPr>
        <w:t>142</w:t>
      </w:r>
      <w:bookmarkStart w:id="0" w:name="_GoBack"/>
      <w:bookmarkEnd w:id="0"/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.</w:t>
      </w:r>
    </w:p>
    <w:p w:rsidR="00327F91" w:rsidRDefault="00327F91" w:rsidP="00DA1744">
      <w:pPr>
        <w:spacing w:line="400" w:lineRule="atLeast"/>
        <w:ind w:firstLine="420"/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sectPr w:rsidR="00327F9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FC" w:rsidRDefault="00BB61FC">
      <w:r>
        <w:separator/>
      </w:r>
    </w:p>
  </w:endnote>
  <w:endnote w:type="continuationSeparator" w:id="0">
    <w:p w:rsidR="00BB61FC" w:rsidRDefault="00B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X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FD" w:rsidRDefault="00327F91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FC" w:rsidRDefault="00BB61FC">
      <w:r>
        <w:separator/>
      </w:r>
    </w:p>
  </w:footnote>
  <w:footnote w:type="continuationSeparator" w:id="0">
    <w:p w:rsidR="00BB61FC" w:rsidRDefault="00BB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27463D"/>
    <w:rsid w:val="00090EFD"/>
    <w:rsid w:val="00104A07"/>
    <w:rsid w:val="00143797"/>
    <w:rsid w:val="00147423"/>
    <w:rsid w:val="0017344F"/>
    <w:rsid w:val="001962FB"/>
    <w:rsid w:val="00315C2F"/>
    <w:rsid w:val="00327F91"/>
    <w:rsid w:val="00436E74"/>
    <w:rsid w:val="005C2589"/>
    <w:rsid w:val="006C1B60"/>
    <w:rsid w:val="007E13D3"/>
    <w:rsid w:val="00817DB0"/>
    <w:rsid w:val="00847052"/>
    <w:rsid w:val="008726B3"/>
    <w:rsid w:val="00881B0D"/>
    <w:rsid w:val="00A1359B"/>
    <w:rsid w:val="00A43C60"/>
    <w:rsid w:val="00A76578"/>
    <w:rsid w:val="00AE32D3"/>
    <w:rsid w:val="00BB61FC"/>
    <w:rsid w:val="00DA1744"/>
    <w:rsid w:val="00EC581C"/>
    <w:rsid w:val="00F2498E"/>
    <w:rsid w:val="06860875"/>
    <w:rsid w:val="0CDA524D"/>
    <w:rsid w:val="10E8075D"/>
    <w:rsid w:val="159C7A2E"/>
    <w:rsid w:val="1790726D"/>
    <w:rsid w:val="31EF68AF"/>
    <w:rsid w:val="3CBA7A1C"/>
    <w:rsid w:val="3F7B68CF"/>
    <w:rsid w:val="425451BA"/>
    <w:rsid w:val="4B175018"/>
    <w:rsid w:val="4EB245D6"/>
    <w:rsid w:val="5127463D"/>
    <w:rsid w:val="576873E3"/>
    <w:rsid w:val="5D5F2FCF"/>
    <w:rsid w:val="6184603F"/>
    <w:rsid w:val="64EE4F7A"/>
    <w:rsid w:val="65535EA9"/>
    <w:rsid w:val="71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7CE3A"/>
  <w15:chartTrackingRefBased/>
  <w15:docId w15:val="{898F309C-5D8C-4930-AFEB-07F41D93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2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C25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706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xiuyu Xu</cp:lastModifiedBy>
  <cp:revision>5</cp:revision>
  <dcterms:created xsi:type="dcterms:W3CDTF">2017-03-16T22:28:00Z</dcterms:created>
  <dcterms:modified xsi:type="dcterms:W3CDTF">2017-03-16T22:41:00Z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