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D2" w:rsidRDefault="005D025F">
      <w:pPr>
        <w:spacing w:line="312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职业成长</w:t>
      </w:r>
      <w:r w:rsidR="00E94CAA">
        <w:rPr>
          <w:rFonts w:ascii="黑体" w:eastAsia="黑体" w:hAnsi="黑体" w:hint="eastAsia"/>
          <w:sz w:val="32"/>
          <w:szCs w:val="32"/>
        </w:rPr>
        <w:t>量表</w:t>
      </w:r>
      <w:bookmarkEnd w:id="0"/>
      <w:r w:rsidR="00616DD2">
        <w:rPr>
          <w:rFonts w:ascii="黑体" w:eastAsia="黑体" w:hAnsi="黑体" w:hint="eastAsia"/>
          <w:sz w:val="32"/>
          <w:szCs w:val="32"/>
        </w:rPr>
        <w:t>（</w:t>
      </w:r>
      <w:r w:rsidR="00CD6A0E" w:rsidRPr="00CD6A0E">
        <w:rPr>
          <w:rFonts w:ascii="黑体" w:eastAsia="黑体" w:hAnsi="黑体" w:hint="eastAsia"/>
          <w:sz w:val="32"/>
          <w:szCs w:val="32"/>
        </w:rPr>
        <w:t>罗 岭，王娟茹</w:t>
      </w:r>
      <w:r w:rsidR="00616DD2">
        <w:rPr>
          <w:rFonts w:ascii="黑体" w:eastAsia="黑体" w:hAnsi="黑体" w:hint="eastAsia"/>
          <w:sz w:val="32"/>
          <w:szCs w:val="32"/>
        </w:rPr>
        <w:t>，20</w:t>
      </w:r>
      <w:r w:rsidR="009F0E59">
        <w:rPr>
          <w:rFonts w:ascii="黑体" w:eastAsia="黑体" w:hAnsi="黑体" w:hint="eastAsia"/>
          <w:sz w:val="32"/>
          <w:szCs w:val="32"/>
        </w:rPr>
        <w:t>16</w:t>
      </w:r>
      <w:r w:rsidR="00616DD2">
        <w:rPr>
          <w:rFonts w:ascii="黑体" w:eastAsia="黑体" w:hAnsi="黑体" w:hint="eastAsia"/>
          <w:sz w:val="32"/>
          <w:szCs w:val="32"/>
        </w:rPr>
        <w:t>）</w:t>
      </w:r>
    </w:p>
    <w:p w:rsidR="00616DD2" w:rsidRDefault="00616DD2">
      <w:pPr>
        <w:spacing w:line="312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5D025F">
        <w:rPr>
          <w:rFonts w:ascii="黑体" w:eastAsia="黑体" w:hAnsi="黑体"/>
          <w:sz w:val="32"/>
          <w:szCs w:val="32"/>
        </w:rPr>
        <w:t>Occupational Growth Scale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616DD2" w:rsidRDefault="00B53104">
      <w:pPr>
        <w:spacing w:line="312" w:lineRule="auto"/>
        <w:ind w:firstLine="420"/>
        <w:rPr>
          <w:rFonts w:ascii="宋体" w:hAnsi="宋体" w:hint="eastAsia"/>
          <w:szCs w:val="21"/>
        </w:rPr>
      </w:pPr>
      <w:r w:rsidRPr="00B53104">
        <w:rPr>
          <w:rFonts w:ascii="宋体" w:hAnsi="宋体" w:hint="eastAsia"/>
          <w:szCs w:val="21"/>
        </w:rPr>
        <w:t>以下</w:t>
      </w:r>
      <w:r>
        <w:rPr>
          <w:rFonts w:ascii="宋体" w:hAnsi="宋体" w:hint="eastAsia"/>
          <w:szCs w:val="21"/>
        </w:rPr>
        <w:t>8</w:t>
      </w:r>
      <w:r w:rsidR="004D23B2">
        <w:rPr>
          <w:rFonts w:ascii="宋体" w:hAnsi="宋体" w:hint="eastAsia"/>
          <w:szCs w:val="21"/>
        </w:rPr>
        <w:t>题主要描述你对</w:t>
      </w:r>
      <w:r w:rsidR="00E94CAA">
        <w:rPr>
          <w:rFonts w:ascii="宋体" w:hAnsi="宋体" w:hint="eastAsia"/>
          <w:szCs w:val="21"/>
        </w:rPr>
        <w:t>职业成长</w:t>
      </w:r>
      <w:r w:rsidR="004D23B2">
        <w:rPr>
          <w:rFonts w:ascii="宋体" w:hAnsi="宋体" w:hint="eastAsia"/>
          <w:szCs w:val="21"/>
        </w:rPr>
        <w:t>的看法，答案</w:t>
      </w:r>
      <w:r w:rsidRPr="00B53104">
        <w:rPr>
          <w:rFonts w:ascii="宋体" w:hAnsi="宋体" w:hint="eastAsia"/>
          <w:szCs w:val="21"/>
        </w:rPr>
        <w:t>没有对错之分。请你仔细考虑下列各题描述的情况，并根据自己的感受，在最符合的数字上划○。评价和判断的标准如下：</w:t>
      </w: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12"/>
        <w:gridCol w:w="1738"/>
        <w:gridCol w:w="1738"/>
        <w:gridCol w:w="1648"/>
        <w:gridCol w:w="90"/>
        <w:gridCol w:w="249"/>
        <w:gridCol w:w="392"/>
        <w:gridCol w:w="359"/>
        <w:gridCol w:w="360"/>
        <w:gridCol w:w="359"/>
      </w:tblGrid>
      <w:tr w:rsidR="00616DD2" w:rsidTr="00B53104"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非常不</w:t>
            </w:r>
            <w:r w:rsidR="00E94CAA">
              <w:rPr>
                <w:rFonts w:hint="eastAsia"/>
                <w:b/>
              </w:rPr>
              <w:t>符合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</w:t>
            </w:r>
            <w:r w:rsidR="00E94CAA">
              <w:rPr>
                <w:rFonts w:hint="eastAsia"/>
                <w:b/>
              </w:rPr>
              <w:t>符合</w:t>
            </w:r>
            <w:r w:rsidR="00E94CAA">
              <w:rPr>
                <w:rFonts w:hint="eastAsia"/>
                <w:b/>
              </w:rPr>
              <w:t xml:space="preserve"> 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616DD2" w:rsidRDefault="00E94CAA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</w:tcPr>
          <w:p w:rsidR="00616DD2" w:rsidRDefault="00E94CAA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符合</w:t>
            </w:r>
          </w:p>
        </w:tc>
        <w:tc>
          <w:tcPr>
            <w:tcW w:w="1719" w:type="dxa"/>
            <w:gridSpan w:val="5"/>
            <w:tcBorders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</w:t>
            </w:r>
            <w:r w:rsidR="00E94CAA">
              <w:rPr>
                <w:rFonts w:hint="eastAsia"/>
                <w:b/>
              </w:rPr>
              <w:t>符合</w:t>
            </w:r>
          </w:p>
        </w:tc>
      </w:tr>
      <w:tr w:rsidR="00616DD2" w:rsidTr="00B53104"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616DD2" w:rsidTr="00B53104">
        <w:tc>
          <w:tcPr>
            <w:tcW w:w="867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6DD2" w:rsidRDefault="00616DD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E94CAA" w:rsidTr="00CF2FD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E94CAA" w:rsidRPr="001D0249" w:rsidRDefault="00E94CAA" w:rsidP="00E94CAA">
            <w:pPr>
              <w:rPr>
                <w:rFonts w:hint="eastAsia"/>
              </w:rPr>
            </w:pPr>
            <w:r w:rsidRPr="001D0249">
              <w:rPr>
                <w:rFonts w:hint="eastAsia"/>
              </w:rPr>
              <w:t>在当前工作单位，我的升职速率比较快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shd w:val="clear" w:color="auto" w:fill="E0E0E0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E94CAA" w:rsidRPr="001D0249" w:rsidRDefault="00E94CAA" w:rsidP="00E94CAA">
            <w:pPr>
              <w:rPr>
                <w:rFonts w:hint="eastAsia"/>
              </w:rPr>
            </w:pPr>
            <w:r w:rsidRPr="001D0249">
              <w:rPr>
                <w:rFonts w:hint="eastAsia"/>
              </w:rPr>
              <w:t>在当前工作单位，我升职的可能性很大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E94CAA" w:rsidRPr="001D0249" w:rsidRDefault="00E94CAA" w:rsidP="00E94CAA">
            <w:pPr>
              <w:rPr>
                <w:rFonts w:hint="eastAsia"/>
              </w:rPr>
            </w:pPr>
            <w:r w:rsidRPr="001D0249">
              <w:rPr>
                <w:rFonts w:hint="eastAsia"/>
              </w:rPr>
              <w:t>在当前工作单位，我现在的职务比原先更理想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shd w:val="clear" w:color="auto" w:fill="E0E0E0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E94CAA" w:rsidRDefault="00E94CAA" w:rsidP="00E94CAA">
            <w:r w:rsidRPr="001D0249">
              <w:rPr>
                <w:rFonts w:hint="eastAsia"/>
              </w:rPr>
              <w:t>与同事相比，我的升职速率比较快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E94CAA" w:rsidRDefault="00E94CAA" w:rsidP="00E94CAA">
            <w:pPr>
              <w:rPr>
                <w:szCs w:val="22"/>
              </w:rPr>
            </w:pPr>
            <w:r>
              <w:rPr>
                <w:rFonts w:hint="eastAsia"/>
              </w:rPr>
              <w:t>到当前工作单位后，我的薪资提升比较快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shd w:val="clear" w:color="auto" w:fill="E0E0E0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E94CAA" w:rsidRDefault="00E94CAA" w:rsidP="00E94CAA">
            <w:r>
              <w:rPr>
                <w:rFonts w:hint="eastAsia"/>
              </w:rPr>
              <w:t>在当前工作单位，我目前报酬继续增长的可能性很大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E94CAA" w:rsidRDefault="00E94CAA" w:rsidP="00E94CAA">
            <w:r>
              <w:rPr>
                <w:rFonts w:hint="eastAsia"/>
              </w:rPr>
              <w:t>在当前工作单位，我现在的报酬比原先更理想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E94CAA">
        <w:tc>
          <w:tcPr>
            <w:tcW w:w="4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E94CAA" w:rsidRDefault="00E94CAA" w:rsidP="00E94CAA">
            <w:r>
              <w:rPr>
                <w:rFonts w:hint="eastAsia"/>
              </w:rPr>
              <w:t>与同事相比，我的报酬增长速度比较快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E94CAA">
        <w:tc>
          <w:tcPr>
            <w:tcW w:w="426" w:type="dxa"/>
            <w:shd w:val="clear" w:color="auto" w:fill="auto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436" w:type="dxa"/>
            <w:gridSpan w:val="4"/>
            <w:shd w:val="clear" w:color="auto" w:fill="auto"/>
          </w:tcPr>
          <w:p w:rsidR="00E94CAA" w:rsidRDefault="00E94CAA" w:rsidP="00E94CAA">
            <w:pPr>
              <w:rPr>
                <w:szCs w:val="22"/>
              </w:rPr>
            </w:pPr>
            <w:r>
              <w:rPr>
                <w:rFonts w:hint="eastAsia"/>
              </w:rPr>
              <w:t>到目前工作单位后，我积累了丰富的业务领域知识</w:t>
            </w:r>
          </w:p>
        </w:tc>
        <w:tc>
          <w:tcPr>
            <w:tcW w:w="339" w:type="dxa"/>
            <w:gridSpan w:val="2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shd w:val="clear" w:color="auto" w:fill="E0E0E0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E94CAA" w:rsidRDefault="00E94CAA" w:rsidP="00E94CAA">
            <w:r>
              <w:rPr>
                <w:rFonts w:hint="eastAsia"/>
              </w:rPr>
              <w:t>到目前工作单位后，我的业务能力得到了不断的锻炼与提升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E94CAA">
        <w:tc>
          <w:tcPr>
            <w:tcW w:w="426" w:type="dxa"/>
            <w:shd w:val="clear" w:color="auto" w:fill="auto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436" w:type="dxa"/>
            <w:gridSpan w:val="4"/>
            <w:shd w:val="clear" w:color="auto" w:fill="auto"/>
          </w:tcPr>
          <w:p w:rsidR="00E94CAA" w:rsidRDefault="00E94CAA" w:rsidP="00E94CAA">
            <w:r>
              <w:rPr>
                <w:rFonts w:hint="eastAsia"/>
              </w:rPr>
              <w:t>目前的工作单位使我掌握了与工作相关的新技能</w:t>
            </w:r>
          </w:p>
        </w:tc>
        <w:tc>
          <w:tcPr>
            <w:tcW w:w="339" w:type="dxa"/>
            <w:gridSpan w:val="2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shd w:val="clear" w:color="auto" w:fill="E0E0E0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E94CAA" w:rsidRDefault="00E94CAA" w:rsidP="00E94CAA">
            <w:pPr>
              <w:rPr>
                <w:szCs w:val="22"/>
              </w:rPr>
            </w:pPr>
            <w:r>
              <w:rPr>
                <w:rFonts w:hint="eastAsia"/>
              </w:rPr>
              <w:t>到当前工作单位后，我结识了许多新同事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E94CAA">
        <w:tc>
          <w:tcPr>
            <w:tcW w:w="426" w:type="dxa"/>
            <w:shd w:val="clear" w:color="auto" w:fill="auto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436" w:type="dxa"/>
            <w:gridSpan w:val="4"/>
            <w:shd w:val="clear" w:color="auto" w:fill="auto"/>
          </w:tcPr>
          <w:p w:rsidR="00E94CAA" w:rsidRDefault="00E94CAA" w:rsidP="00E94CAA">
            <w:r>
              <w:rPr>
                <w:rFonts w:hint="eastAsia"/>
              </w:rPr>
              <w:t>我与网络中新成员的关系越来越密切</w:t>
            </w:r>
          </w:p>
        </w:tc>
        <w:tc>
          <w:tcPr>
            <w:tcW w:w="339" w:type="dxa"/>
            <w:gridSpan w:val="2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CF2FD1">
        <w:tc>
          <w:tcPr>
            <w:tcW w:w="426" w:type="dxa"/>
            <w:shd w:val="clear" w:color="auto" w:fill="E0E0E0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E94CAA" w:rsidRDefault="00E94CAA" w:rsidP="00E94CAA">
            <w:r>
              <w:rPr>
                <w:rFonts w:hint="eastAsia"/>
              </w:rPr>
              <w:t>我常常与网络中的成员进行充分的互动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94CAA" w:rsidTr="00E94CAA">
        <w:tc>
          <w:tcPr>
            <w:tcW w:w="426" w:type="dxa"/>
            <w:shd w:val="clear" w:color="auto" w:fill="auto"/>
            <w:vAlign w:val="center"/>
          </w:tcPr>
          <w:p w:rsidR="00E94CAA" w:rsidRDefault="00E94CAA" w:rsidP="00E94CAA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436" w:type="dxa"/>
            <w:gridSpan w:val="4"/>
            <w:shd w:val="clear" w:color="auto" w:fill="auto"/>
          </w:tcPr>
          <w:p w:rsidR="00E94CAA" w:rsidRDefault="00E94CAA" w:rsidP="00E94CAA">
            <w:r>
              <w:rPr>
                <w:rFonts w:hint="eastAsia"/>
              </w:rPr>
              <w:t>我获得网络中成员的支持或帮助越来越多</w:t>
            </w:r>
          </w:p>
        </w:tc>
        <w:tc>
          <w:tcPr>
            <w:tcW w:w="339" w:type="dxa"/>
            <w:gridSpan w:val="2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E94CAA" w:rsidRDefault="00E94CAA" w:rsidP="00E94CA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616DD2" w:rsidRDefault="00616DD2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D769EF" w:rsidRDefault="005D025F" w:rsidP="005D025F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职业成长</w:t>
      </w:r>
      <w:r w:rsidR="00D769EF">
        <w:rPr>
          <w:rFonts w:ascii="宋体" w:hAnsi="宋体" w:hint="eastAsia"/>
          <w:szCs w:val="21"/>
        </w:rPr>
        <w:t>问卷包括</w:t>
      </w:r>
      <w:r w:rsidRPr="005D025F">
        <w:rPr>
          <w:rFonts w:ascii="宋体" w:hAnsi="宋体" w:hint="eastAsia"/>
          <w:szCs w:val="21"/>
        </w:rPr>
        <w:t>升职速率、报酬增长、业务</w:t>
      </w:r>
      <w:r>
        <w:rPr>
          <w:rFonts w:ascii="宋体" w:hAnsi="宋体" w:hint="eastAsia"/>
          <w:szCs w:val="21"/>
        </w:rPr>
        <w:t>能力进步和网络能力发展</w:t>
      </w:r>
      <w:r w:rsidR="00D769EF">
        <w:rPr>
          <w:rFonts w:ascii="宋体" w:hAnsi="宋体" w:hint="eastAsia"/>
          <w:szCs w:val="21"/>
        </w:rPr>
        <w:t>四个分量表，可以计算每个分量表所包括题目的总分或平均分</w:t>
      </w:r>
      <w:r w:rsidR="00BA46D6">
        <w:rPr>
          <w:rFonts w:ascii="宋体" w:hAnsi="宋体" w:hint="eastAsia"/>
          <w:szCs w:val="21"/>
        </w:rPr>
        <w:t>从而得到</w:t>
      </w:r>
      <w:r>
        <w:rPr>
          <w:rFonts w:ascii="宋体" w:hAnsi="宋体" w:hint="eastAsia"/>
          <w:szCs w:val="21"/>
        </w:rPr>
        <w:t>职业成长</w:t>
      </w:r>
      <w:r w:rsidR="00BA46D6">
        <w:rPr>
          <w:rFonts w:ascii="宋体" w:hAnsi="宋体" w:hint="eastAsia"/>
          <w:szCs w:val="21"/>
        </w:rPr>
        <w:t>的信息，也可以将</w:t>
      </w:r>
      <w:r>
        <w:rPr>
          <w:rFonts w:ascii="宋体" w:hAnsi="宋体"/>
          <w:szCs w:val="21"/>
        </w:rPr>
        <w:t>15</w:t>
      </w:r>
      <w:r w:rsidR="00BA46D6">
        <w:rPr>
          <w:rFonts w:ascii="宋体" w:hAnsi="宋体" w:hint="eastAsia"/>
          <w:szCs w:val="21"/>
        </w:rPr>
        <w:t>个题目取平均分，得到总体的公共服务动机水平</w:t>
      </w:r>
      <w:r w:rsidR="00D769EF">
        <w:rPr>
          <w:rFonts w:ascii="宋体" w:hAnsi="宋体" w:hint="eastAsia"/>
          <w:szCs w:val="21"/>
        </w:rPr>
        <w:t>。每个分量表包括的题目如下：</w:t>
      </w:r>
    </w:p>
    <w:p w:rsidR="00D769EF" w:rsidRDefault="00D769EF" w:rsidP="00D769EF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r w:rsidRPr="00D769EF">
        <w:rPr>
          <w:rFonts w:ascii="宋体" w:hAnsi="宋体" w:hint="eastAsia"/>
          <w:szCs w:val="21"/>
        </w:rPr>
        <w:t xml:space="preserve"> </w:t>
      </w:r>
      <w:r w:rsidR="005D025F" w:rsidRPr="005D025F">
        <w:rPr>
          <w:rFonts w:ascii="宋体" w:hAnsi="宋体" w:hint="eastAsia"/>
          <w:szCs w:val="21"/>
        </w:rPr>
        <w:t>升职速率</w:t>
      </w:r>
      <w:r>
        <w:rPr>
          <w:rFonts w:ascii="宋体" w:hAnsi="宋体" w:hint="eastAsia"/>
          <w:szCs w:val="21"/>
        </w:rPr>
        <w:t>：总共</w:t>
      </w:r>
      <w:r w:rsidR="005D025F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道题，具体包括第1、2</w:t>
      </w:r>
      <w:r w:rsidR="00E94CAA">
        <w:rPr>
          <w:rFonts w:ascii="宋体" w:hAnsi="宋体" w:hint="eastAsia"/>
          <w:szCs w:val="21"/>
        </w:rPr>
        <w:t>、3、4</w:t>
      </w:r>
      <w:r>
        <w:rPr>
          <w:rFonts w:ascii="宋体" w:hAnsi="宋体" w:hint="eastAsia"/>
          <w:szCs w:val="21"/>
        </w:rPr>
        <w:t>题。</w:t>
      </w:r>
    </w:p>
    <w:p w:rsidR="00D769EF" w:rsidRDefault="00D769EF" w:rsidP="00D769EF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</w:t>
      </w:r>
      <w:r w:rsidRPr="00D769EF">
        <w:rPr>
          <w:rFonts w:ascii="宋体" w:hAnsi="宋体" w:hint="eastAsia"/>
          <w:szCs w:val="21"/>
        </w:rPr>
        <w:t xml:space="preserve"> </w:t>
      </w:r>
      <w:r w:rsidR="005D025F" w:rsidRPr="005D025F">
        <w:rPr>
          <w:rFonts w:ascii="宋体" w:hAnsi="宋体" w:hint="eastAsia"/>
          <w:szCs w:val="21"/>
        </w:rPr>
        <w:t>报酬增长</w:t>
      </w:r>
      <w:r>
        <w:rPr>
          <w:rFonts w:ascii="宋体" w:hAnsi="宋体" w:hint="eastAsia"/>
          <w:szCs w:val="21"/>
        </w:rPr>
        <w:t>：总共</w:t>
      </w:r>
      <w:r w:rsidR="005D025F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道题，具体包括第</w:t>
      </w:r>
      <w:r w:rsidR="00E94CAA">
        <w:rPr>
          <w:rFonts w:ascii="宋体" w:hAnsi="宋体"/>
          <w:szCs w:val="21"/>
        </w:rPr>
        <w:t>5</w:t>
      </w:r>
      <w:r w:rsidR="00E94CAA">
        <w:rPr>
          <w:rFonts w:ascii="宋体" w:hAnsi="宋体" w:hint="eastAsia"/>
          <w:szCs w:val="21"/>
        </w:rPr>
        <w:t>、6、7、8</w:t>
      </w:r>
      <w:r>
        <w:rPr>
          <w:rFonts w:ascii="宋体" w:hAnsi="宋体" w:hint="eastAsia"/>
          <w:szCs w:val="21"/>
        </w:rPr>
        <w:t>题。</w:t>
      </w:r>
    </w:p>
    <w:p w:rsidR="00D769EF" w:rsidRDefault="00D769EF" w:rsidP="00D769EF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</w:t>
      </w:r>
      <w:r w:rsidRPr="00D769EF">
        <w:rPr>
          <w:rFonts w:ascii="宋体" w:hAnsi="宋体" w:hint="eastAsia"/>
          <w:szCs w:val="21"/>
        </w:rPr>
        <w:t xml:space="preserve"> </w:t>
      </w:r>
      <w:r w:rsidR="005D025F" w:rsidRPr="005D025F">
        <w:rPr>
          <w:rFonts w:ascii="宋体" w:hAnsi="宋体" w:hint="eastAsia"/>
          <w:szCs w:val="21"/>
        </w:rPr>
        <w:t>业务</w:t>
      </w:r>
      <w:r w:rsidR="005D025F">
        <w:rPr>
          <w:rFonts w:ascii="宋体" w:hAnsi="宋体" w:hint="eastAsia"/>
          <w:szCs w:val="21"/>
        </w:rPr>
        <w:t>能力进步</w:t>
      </w:r>
      <w:r>
        <w:rPr>
          <w:rFonts w:ascii="宋体" w:hAnsi="宋体" w:hint="eastAsia"/>
          <w:szCs w:val="21"/>
        </w:rPr>
        <w:t>：总共</w:t>
      </w:r>
      <w:r w:rsidR="005D025F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道题，具体包括第</w:t>
      </w:r>
      <w:r w:rsidR="00E94CAA">
        <w:rPr>
          <w:rFonts w:ascii="宋体" w:hAnsi="宋体"/>
          <w:szCs w:val="21"/>
        </w:rPr>
        <w:t>9</w:t>
      </w:r>
      <w:r w:rsidR="00E94CAA">
        <w:rPr>
          <w:rFonts w:ascii="宋体" w:hAnsi="宋体" w:hint="eastAsia"/>
          <w:szCs w:val="21"/>
        </w:rPr>
        <w:t>、10、11</w:t>
      </w:r>
      <w:r>
        <w:rPr>
          <w:rFonts w:ascii="宋体" w:hAnsi="宋体" w:hint="eastAsia"/>
          <w:szCs w:val="21"/>
        </w:rPr>
        <w:t>题。</w:t>
      </w:r>
    </w:p>
    <w:p w:rsidR="00616DD2" w:rsidRPr="00BB074E" w:rsidRDefault="00D769EF" w:rsidP="00BB074E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</w:t>
      </w:r>
      <w:r w:rsidR="005D025F" w:rsidRPr="005D025F">
        <w:rPr>
          <w:rFonts w:ascii="宋体" w:hAnsi="宋体" w:hint="eastAsia"/>
          <w:szCs w:val="21"/>
        </w:rPr>
        <w:t xml:space="preserve"> </w:t>
      </w:r>
      <w:r w:rsidR="005D025F">
        <w:rPr>
          <w:rFonts w:ascii="宋体" w:hAnsi="宋体" w:hint="eastAsia"/>
          <w:szCs w:val="21"/>
        </w:rPr>
        <w:t>网络能力发展</w:t>
      </w:r>
      <w:r>
        <w:rPr>
          <w:rFonts w:ascii="宋体" w:hAnsi="宋体" w:hint="eastAsia"/>
          <w:szCs w:val="21"/>
        </w:rPr>
        <w:t>：总共</w:t>
      </w:r>
      <w:r w:rsidR="005D025F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道题，具体包括第</w:t>
      </w:r>
      <w:r w:rsidR="00E94CAA">
        <w:rPr>
          <w:rFonts w:ascii="宋体" w:hAnsi="宋体"/>
          <w:szCs w:val="21"/>
        </w:rPr>
        <w:t>12</w:t>
      </w:r>
      <w:r w:rsidR="00E94CAA">
        <w:rPr>
          <w:rFonts w:ascii="宋体" w:hAnsi="宋体" w:hint="eastAsia"/>
          <w:szCs w:val="21"/>
        </w:rPr>
        <w:t>、13、14、15</w:t>
      </w:r>
      <w:r w:rsidR="00FD6756">
        <w:rPr>
          <w:rFonts w:ascii="宋体" w:hAnsi="宋体" w:hint="eastAsia"/>
          <w:szCs w:val="21"/>
        </w:rPr>
        <w:t>题。</w:t>
      </w:r>
    </w:p>
    <w:p w:rsidR="00616DD2" w:rsidRDefault="00616DD2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AE593C" w:rsidRDefault="00BB074E" w:rsidP="00ED20B5">
      <w:pPr>
        <w:widowControl/>
        <w:spacing w:line="312" w:lineRule="auto"/>
        <w:ind w:firstLine="420"/>
        <w:jc w:val="left"/>
        <w:rPr>
          <w:rFonts w:ascii="宋体" w:hAnsi="宋体" w:cs="Arial" w:hint="eastAsia"/>
          <w:i/>
          <w:iCs/>
          <w:color w:val="000000"/>
          <w:kern w:val="0"/>
          <w:szCs w:val="21"/>
          <w:shd w:val="clear" w:color="auto" w:fill="FFFFFF"/>
        </w:rPr>
      </w:pPr>
      <w:r w:rsidRPr="00BB074E">
        <w:rPr>
          <w:rFonts w:ascii="宋体" w:hAnsi="宋体" w:cs="Lantinghei TC Heavy" w:hint="eastAsia"/>
          <w:color w:val="000000"/>
          <w:kern w:val="0"/>
          <w:szCs w:val="21"/>
          <w:shd w:val="clear" w:color="auto" w:fill="FFFFFF"/>
        </w:rPr>
        <w:lastRenderedPageBreak/>
        <w:t>罗岭,王娟茹. (2016). 回</w:t>
      </w:r>
      <w:proofErr w:type="gramStart"/>
      <w:r w:rsidRPr="00BB074E">
        <w:rPr>
          <w:rFonts w:ascii="宋体" w:hAnsi="宋体" w:cs="Lantinghei TC Heavy" w:hint="eastAsia"/>
          <w:color w:val="000000"/>
          <w:kern w:val="0"/>
          <w:szCs w:val="21"/>
          <w:shd w:val="clear" w:color="auto" w:fill="FFFFFF"/>
        </w:rPr>
        <w:t>任人员</w:t>
      </w:r>
      <w:proofErr w:type="gramEnd"/>
      <w:r w:rsidRPr="00BB074E">
        <w:rPr>
          <w:rFonts w:ascii="宋体" w:hAnsi="宋体" w:cs="Lantinghei TC Heavy" w:hint="eastAsia"/>
          <w:color w:val="000000"/>
          <w:kern w:val="0"/>
          <w:szCs w:val="21"/>
          <w:shd w:val="clear" w:color="auto" w:fill="FFFFFF"/>
        </w:rPr>
        <w:t xml:space="preserve">职业成长、情感承诺与知识转移的关系. </w:t>
      </w:r>
      <w:r w:rsidRPr="00BB074E">
        <w:rPr>
          <w:rFonts w:ascii="宋体" w:hAnsi="宋体" w:cs="Lantinghei TC Heavy" w:hint="eastAsia"/>
          <w:i/>
          <w:color w:val="000000"/>
          <w:kern w:val="0"/>
          <w:szCs w:val="21"/>
          <w:shd w:val="clear" w:color="auto" w:fill="FFFFFF"/>
        </w:rPr>
        <w:t>经济管理</w:t>
      </w:r>
      <w:r w:rsidRPr="00BB074E">
        <w:rPr>
          <w:rFonts w:ascii="宋体" w:hAnsi="宋体" w:cs="Lantinghei TC Heavy" w:hint="eastAsia"/>
          <w:color w:val="000000"/>
          <w:kern w:val="0"/>
          <w:szCs w:val="21"/>
          <w:shd w:val="clear" w:color="auto" w:fill="FFFFFF"/>
        </w:rPr>
        <w:t>(11), 118-130.</w:t>
      </w:r>
    </w:p>
    <w:p w:rsidR="00AE593C" w:rsidRPr="00142C33" w:rsidRDefault="00AE593C" w:rsidP="00AE593C">
      <w:pPr>
        <w:spacing w:line="400" w:lineRule="atLeast"/>
        <w:ind w:firstLine="420"/>
        <w:rPr>
          <w:rFonts w:ascii="黑体" w:eastAsia="黑体" w:hAnsi="宋体" w:hint="eastAsia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 w:rsidRPr="005B4E67">
          <w:rPr>
            <w:rStyle w:val="a5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使用请</w:t>
      </w:r>
      <w:proofErr w:type="gramEnd"/>
      <w:r>
        <w:rPr>
          <w:rFonts w:ascii="黑体" w:eastAsia="黑体" w:hAnsi="宋体" w:hint="eastAsia"/>
          <w:color w:val="FF0000"/>
          <w:sz w:val="24"/>
        </w:rPr>
        <w:t>与原作者联系。为了尊重作者的劳动成果，请规范引用，谢谢！</w:t>
      </w:r>
    </w:p>
    <w:sectPr w:rsidR="00AE593C" w:rsidRPr="00142C3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F0" w:rsidRDefault="004606F0" w:rsidP="00AE593C">
      <w:r>
        <w:separator/>
      </w:r>
    </w:p>
  </w:endnote>
  <w:endnote w:type="continuationSeparator" w:id="0">
    <w:p w:rsidR="004606F0" w:rsidRDefault="004606F0" w:rsidP="00AE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3C" w:rsidRDefault="00AE593C" w:rsidP="00AE593C">
    <w:pPr>
      <w:pStyle w:val="a6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 w:rsidRPr="005B4E67">
        <w:rPr>
          <w:rStyle w:val="a5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F0" w:rsidRDefault="004606F0" w:rsidP="00AE593C">
      <w:r>
        <w:separator/>
      </w:r>
    </w:p>
  </w:footnote>
  <w:footnote w:type="continuationSeparator" w:id="0">
    <w:p w:rsidR="004606F0" w:rsidRDefault="004606F0" w:rsidP="00AE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FAB"/>
    <w:rsid w:val="00000364"/>
    <w:rsid w:val="00003BF4"/>
    <w:rsid w:val="00034C36"/>
    <w:rsid w:val="00034CFA"/>
    <w:rsid w:val="000A37D1"/>
    <w:rsid w:val="000D7F9F"/>
    <w:rsid w:val="000E48B6"/>
    <w:rsid w:val="00102284"/>
    <w:rsid w:val="00105314"/>
    <w:rsid w:val="0011748B"/>
    <w:rsid w:val="001E4847"/>
    <w:rsid w:val="002128B6"/>
    <w:rsid w:val="00217175"/>
    <w:rsid w:val="0024080B"/>
    <w:rsid w:val="00242EEA"/>
    <w:rsid w:val="002731E8"/>
    <w:rsid w:val="00287E7C"/>
    <w:rsid w:val="00297111"/>
    <w:rsid w:val="002C678D"/>
    <w:rsid w:val="002E577A"/>
    <w:rsid w:val="0034539C"/>
    <w:rsid w:val="00346BAD"/>
    <w:rsid w:val="00377C68"/>
    <w:rsid w:val="003B2F3F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606F0"/>
    <w:rsid w:val="00480639"/>
    <w:rsid w:val="004A0EA8"/>
    <w:rsid w:val="004A12EF"/>
    <w:rsid w:val="004A19A8"/>
    <w:rsid w:val="004A408C"/>
    <w:rsid w:val="004B59A3"/>
    <w:rsid w:val="004D23B2"/>
    <w:rsid w:val="004E082F"/>
    <w:rsid w:val="004E0FAF"/>
    <w:rsid w:val="005201A0"/>
    <w:rsid w:val="00546C72"/>
    <w:rsid w:val="00590101"/>
    <w:rsid w:val="005A4A88"/>
    <w:rsid w:val="005B02A1"/>
    <w:rsid w:val="005B03E7"/>
    <w:rsid w:val="005B6B1A"/>
    <w:rsid w:val="005D025F"/>
    <w:rsid w:val="005D61B0"/>
    <w:rsid w:val="005E4764"/>
    <w:rsid w:val="006126C8"/>
    <w:rsid w:val="00616DD2"/>
    <w:rsid w:val="00632B14"/>
    <w:rsid w:val="00670F4B"/>
    <w:rsid w:val="00675CCB"/>
    <w:rsid w:val="006E51BB"/>
    <w:rsid w:val="00721930"/>
    <w:rsid w:val="0077440B"/>
    <w:rsid w:val="00792A65"/>
    <w:rsid w:val="007A5AE4"/>
    <w:rsid w:val="007B3AF2"/>
    <w:rsid w:val="007C675A"/>
    <w:rsid w:val="007D2123"/>
    <w:rsid w:val="007E6B9C"/>
    <w:rsid w:val="00802AAB"/>
    <w:rsid w:val="008466CE"/>
    <w:rsid w:val="00853319"/>
    <w:rsid w:val="008625F3"/>
    <w:rsid w:val="00877D3D"/>
    <w:rsid w:val="00881C3F"/>
    <w:rsid w:val="00890543"/>
    <w:rsid w:val="008F2EC4"/>
    <w:rsid w:val="009167F9"/>
    <w:rsid w:val="00922054"/>
    <w:rsid w:val="009265FE"/>
    <w:rsid w:val="0098095F"/>
    <w:rsid w:val="009823C7"/>
    <w:rsid w:val="009C4FC7"/>
    <w:rsid w:val="009C6CDE"/>
    <w:rsid w:val="009F0E59"/>
    <w:rsid w:val="00A17FD7"/>
    <w:rsid w:val="00A25881"/>
    <w:rsid w:val="00A27734"/>
    <w:rsid w:val="00A30A7A"/>
    <w:rsid w:val="00A42E6A"/>
    <w:rsid w:val="00A9246A"/>
    <w:rsid w:val="00A95BAD"/>
    <w:rsid w:val="00AA4086"/>
    <w:rsid w:val="00AC67FF"/>
    <w:rsid w:val="00AD5595"/>
    <w:rsid w:val="00AE48BF"/>
    <w:rsid w:val="00AE593C"/>
    <w:rsid w:val="00AF0253"/>
    <w:rsid w:val="00B2301D"/>
    <w:rsid w:val="00B53104"/>
    <w:rsid w:val="00B54B49"/>
    <w:rsid w:val="00B55322"/>
    <w:rsid w:val="00B63041"/>
    <w:rsid w:val="00B74719"/>
    <w:rsid w:val="00B91B1A"/>
    <w:rsid w:val="00BA46D6"/>
    <w:rsid w:val="00BA5687"/>
    <w:rsid w:val="00BB074E"/>
    <w:rsid w:val="00BB27D7"/>
    <w:rsid w:val="00BB3681"/>
    <w:rsid w:val="00BE69A3"/>
    <w:rsid w:val="00BF00DF"/>
    <w:rsid w:val="00C01935"/>
    <w:rsid w:val="00C052CA"/>
    <w:rsid w:val="00C16653"/>
    <w:rsid w:val="00C27729"/>
    <w:rsid w:val="00C74BA0"/>
    <w:rsid w:val="00CA1031"/>
    <w:rsid w:val="00CB67D0"/>
    <w:rsid w:val="00CC0234"/>
    <w:rsid w:val="00CD6A0E"/>
    <w:rsid w:val="00CF2FD1"/>
    <w:rsid w:val="00D14050"/>
    <w:rsid w:val="00D3356F"/>
    <w:rsid w:val="00D517C4"/>
    <w:rsid w:val="00D6134C"/>
    <w:rsid w:val="00D769EF"/>
    <w:rsid w:val="00D92D23"/>
    <w:rsid w:val="00D97E7D"/>
    <w:rsid w:val="00DA45CD"/>
    <w:rsid w:val="00DB216D"/>
    <w:rsid w:val="00E04B9C"/>
    <w:rsid w:val="00E25CF5"/>
    <w:rsid w:val="00E45F29"/>
    <w:rsid w:val="00E6282F"/>
    <w:rsid w:val="00E70A47"/>
    <w:rsid w:val="00E9163D"/>
    <w:rsid w:val="00E94CAA"/>
    <w:rsid w:val="00EC660C"/>
    <w:rsid w:val="00ED20B5"/>
    <w:rsid w:val="00EE6A7D"/>
    <w:rsid w:val="00EF4B89"/>
    <w:rsid w:val="00F224A7"/>
    <w:rsid w:val="00F22FAB"/>
    <w:rsid w:val="00F26F31"/>
    <w:rsid w:val="00F365FB"/>
    <w:rsid w:val="00F370A9"/>
    <w:rsid w:val="00F40505"/>
    <w:rsid w:val="00F53AF8"/>
    <w:rsid w:val="00F83FCB"/>
    <w:rsid w:val="00F870E2"/>
    <w:rsid w:val="00F95B5F"/>
    <w:rsid w:val="00FA1EBA"/>
    <w:rsid w:val="00FA6C38"/>
    <w:rsid w:val="00FB48F9"/>
    <w:rsid w:val="00FD6756"/>
    <w:rsid w:val="270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97D839DB-AF20-4628-B760-F52FFECF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346BA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E593C"/>
    <w:rPr>
      <w:color w:val="0000FF"/>
      <w:u w:val="single"/>
    </w:rPr>
  </w:style>
  <w:style w:type="paragraph" w:styleId="a6">
    <w:name w:val="footer"/>
    <w:basedOn w:val="a"/>
    <w:link w:val="Char"/>
    <w:rsid w:val="00AE5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rsid w:val="00AE593C"/>
    <w:rPr>
      <w:kern w:val="2"/>
      <w:sz w:val="18"/>
      <w:szCs w:val="18"/>
    </w:rPr>
  </w:style>
  <w:style w:type="character" w:styleId="a7">
    <w:name w:val="annotation reference"/>
    <w:rsid w:val="00E94CAA"/>
    <w:rPr>
      <w:sz w:val="21"/>
      <w:szCs w:val="21"/>
    </w:rPr>
  </w:style>
  <w:style w:type="paragraph" w:styleId="a8">
    <w:name w:val="annotation text"/>
    <w:basedOn w:val="a"/>
    <w:link w:val="a9"/>
    <w:rsid w:val="00E94CAA"/>
    <w:pPr>
      <w:jc w:val="left"/>
    </w:pPr>
  </w:style>
  <w:style w:type="character" w:customStyle="1" w:styleId="a9">
    <w:name w:val="批注文字 字符"/>
    <w:link w:val="a8"/>
    <w:rsid w:val="00E94CA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4CAA"/>
    <w:rPr>
      <w:b/>
      <w:bCs/>
    </w:rPr>
  </w:style>
  <w:style w:type="character" w:customStyle="1" w:styleId="ab">
    <w:name w:val="批注主题 字符"/>
    <w:link w:val="aa"/>
    <w:rsid w:val="00E94CA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94CAA"/>
    <w:rPr>
      <w:sz w:val="18"/>
      <w:szCs w:val="18"/>
    </w:rPr>
  </w:style>
  <w:style w:type="character" w:customStyle="1" w:styleId="ad">
    <w:name w:val="批注框文本 字符"/>
    <w:link w:val="ac"/>
    <w:rsid w:val="00E94CAA"/>
    <w:rPr>
      <w:kern w:val="2"/>
      <w:sz w:val="18"/>
      <w:szCs w:val="18"/>
    </w:rPr>
  </w:style>
  <w:style w:type="character" w:customStyle="1" w:styleId="20">
    <w:name w:val="标题 2 字符"/>
    <w:link w:val="2"/>
    <w:uiPriority w:val="9"/>
    <w:rsid w:val="00346BAD"/>
    <w:rPr>
      <w:rFonts w:ascii="宋体" w:hAnsi="宋体" w:cs="宋体"/>
      <w:b/>
      <w:bCs/>
      <w:sz w:val="36"/>
      <w:szCs w:val="36"/>
    </w:rPr>
  </w:style>
  <w:style w:type="character" w:customStyle="1" w:styleId="mw-headline">
    <w:name w:val="mw-headline"/>
    <w:rsid w:val="00346BAD"/>
  </w:style>
  <w:style w:type="character" w:customStyle="1" w:styleId="mw-editsection">
    <w:name w:val="mw-editsection"/>
    <w:rsid w:val="00346BAD"/>
  </w:style>
  <w:style w:type="character" w:customStyle="1" w:styleId="mw-editsection-bracket">
    <w:name w:val="mw-editsection-bracket"/>
    <w:rsid w:val="0034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1069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2017-05-03T07:46:00Z</dcterms:created>
  <dcterms:modified xsi:type="dcterms:W3CDTF">2017-05-03T07:46:00Z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