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63" w:rsidRPr="00B47218" w:rsidRDefault="00903463" w:rsidP="00903463">
      <w:pPr>
        <w:jc w:val="center"/>
        <w:rPr>
          <w:rFonts w:ascii="黑体" w:eastAsia="黑体" w:hAnsi="黑体" w:hint="eastAsia"/>
          <w:sz w:val="24"/>
        </w:rPr>
      </w:pPr>
      <w:r w:rsidRPr="00903463">
        <w:rPr>
          <w:rFonts w:ascii="黑体" w:eastAsia="黑体" w:hAnsi="黑体" w:hint="eastAsia"/>
          <w:sz w:val="24"/>
        </w:rPr>
        <w:t>个人内在</w:t>
      </w:r>
      <w:r w:rsidRPr="00903463">
        <w:rPr>
          <w:rFonts w:ascii="黑体" w:eastAsia="黑体" w:hAnsi="黑体"/>
          <w:sz w:val="24"/>
        </w:rPr>
        <w:t>自我调节焦点问卷</w:t>
      </w:r>
      <w:r>
        <w:rPr>
          <w:rFonts w:ascii="黑体" w:eastAsia="黑体" w:hAnsi="黑体" w:hint="eastAsia"/>
          <w:sz w:val="24"/>
        </w:rPr>
        <w:t>（赵新元等，2012）</w:t>
      </w:r>
    </w:p>
    <w:p w:rsidR="00903463" w:rsidRPr="00B47218" w:rsidRDefault="00903463" w:rsidP="00186D86">
      <w:pPr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（</w:t>
      </w:r>
      <w:r w:rsidRPr="00903463">
        <w:rPr>
          <w:rFonts w:ascii="黑体" w:eastAsia="黑体" w:hAnsi="黑体"/>
          <w:sz w:val="24"/>
        </w:rPr>
        <w:t>General Regulatory Focus Measure</w:t>
      </w:r>
      <w:r>
        <w:rPr>
          <w:rFonts w:ascii="黑体" w:eastAsia="黑体" w:hAnsi="黑体" w:hint="eastAsia"/>
          <w:sz w:val="24"/>
        </w:rPr>
        <w:t>,</w:t>
      </w:r>
      <w:r>
        <w:rPr>
          <w:rFonts w:ascii="黑体" w:eastAsia="黑体" w:hAnsi="黑体"/>
          <w:sz w:val="24"/>
        </w:rPr>
        <w:t xml:space="preserve"> </w:t>
      </w:r>
      <w:bookmarkStart w:id="0" w:name="_GoBack"/>
      <w:r w:rsidRPr="00903463">
        <w:rPr>
          <w:rFonts w:ascii="黑体" w:eastAsia="黑体" w:hAnsi="黑体"/>
          <w:sz w:val="24"/>
        </w:rPr>
        <w:t>GRFM</w:t>
      </w:r>
      <w:bookmarkEnd w:id="0"/>
      <w:r>
        <w:rPr>
          <w:rFonts w:ascii="黑体" w:eastAsia="黑体" w:hAnsi="黑体" w:hint="eastAsia"/>
          <w:sz w:val="24"/>
        </w:rPr>
        <w:t>）</w:t>
      </w:r>
      <w:r w:rsidRPr="00903463">
        <w:rPr>
          <w:rFonts w:ascii="黑体" w:eastAsia="黑体" w:hAnsi="黑体"/>
          <w:sz w:val="24"/>
        </w:rPr>
        <w:t xml:space="preserve"> </w:t>
      </w:r>
    </w:p>
    <w:p w:rsidR="00186D86" w:rsidRDefault="00186D86" w:rsidP="00186D86">
      <w:pPr>
        <w:spacing w:line="312" w:lineRule="auto"/>
        <w:ind w:firstLine="420"/>
        <w:rPr>
          <w:rFonts w:ascii="宋体" w:hAnsi="宋体" w:hint="eastAsia"/>
          <w:szCs w:val="21"/>
        </w:rPr>
      </w:pPr>
    </w:p>
    <w:p w:rsidR="00186D86" w:rsidRDefault="00186D86" w:rsidP="00903463">
      <w:pPr>
        <w:spacing w:line="360" w:lineRule="auto"/>
        <w:ind w:rightChars="-162" w:right="-340"/>
        <w:rPr>
          <w:rFonts w:ascii="宋体" w:hAnsi="宋体"/>
          <w:szCs w:val="21"/>
        </w:rPr>
      </w:pPr>
      <w:r w:rsidRPr="00186D86">
        <w:rPr>
          <w:rFonts w:ascii="宋体" w:hAnsi="宋体" w:hint="eastAsia"/>
          <w:szCs w:val="21"/>
        </w:rPr>
        <w:t>请根据您个人的情况回答以下问题，在与您看法最一致的数字上划圈，或打“√”</w:t>
      </w:r>
      <w:r w:rsidR="00903463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评价和判断的标准如下：</w:t>
      </w:r>
    </w:p>
    <w:tbl>
      <w:tblPr>
        <w:tblW w:w="864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134"/>
        <w:gridCol w:w="1984"/>
        <w:gridCol w:w="1134"/>
        <w:gridCol w:w="851"/>
        <w:gridCol w:w="1559"/>
      </w:tblGrid>
      <w:tr w:rsidR="00186D86" w:rsidTr="00903463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134" w:type="dxa"/>
            <w:tcBorders>
              <w:top w:val="single" w:sz="6" w:space="0" w:color="auto"/>
              <w:right w:val="nil"/>
            </w:tcBorders>
            <w:vAlign w:val="center"/>
          </w:tcPr>
          <w:p w:rsidR="00186D86" w:rsidRPr="008D794F" w:rsidRDefault="00186D86" w:rsidP="00903463">
            <w:pPr>
              <w:keepNext/>
              <w:snapToGrid w:val="0"/>
              <w:spacing w:line="240" w:lineRule="atLeast"/>
              <w:ind w:leftChars="-2" w:left="-4" w:firstLineChars="2" w:firstLine="4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86D86" w:rsidRPr="008D794F" w:rsidRDefault="00186D86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86D86" w:rsidRPr="008D794F" w:rsidRDefault="00186D86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86D86" w:rsidRPr="008D794F" w:rsidRDefault="00186D86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86D86" w:rsidRPr="008D794F" w:rsidRDefault="00186D86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86D86" w:rsidRPr="008D794F" w:rsidRDefault="00186D86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 w:rsidR="00186D86" w:rsidRPr="008D794F" w:rsidRDefault="00186D86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7</w:t>
            </w:r>
          </w:p>
        </w:tc>
      </w:tr>
      <w:tr w:rsidR="00186D86" w:rsidTr="009034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bottom w:val="single" w:sz="6" w:space="0" w:color="auto"/>
              <w:right w:val="nil"/>
            </w:tcBorders>
          </w:tcPr>
          <w:p w:rsidR="00186D86" w:rsidRPr="008D794F" w:rsidRDefault="00903463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 w:hint="eastAsia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非常反对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6D86" w:rsidRPr="008D794F" w:rsidRDefault="00903463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反对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6D86" w:rsidRPr="008D794F" w:rsidRDefault="00903463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有点反对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6D86" w:rsidRPr="008D794F" w:rsidRDefault="00903463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既不同意也不反对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6D86" w:rsidRPr="008D794F" w:rsidRDefault="00903463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有点同意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86D86" w:rsidRPr="008D794F" w:rsidRDefault="00903463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同意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</w:tcBorders>
          </w:tcPr>
          <w:p w:rsidR="00186D86" w:rsidRPr="008D794F" w:rsidRDefault="00186D86" w:rsidP="00903463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非常同意</w:t>
            </w:r>
          </w:p>
        </w:tc>
      </w:tr>
    </w:tbl>
    <w:p w:rsidR="00186D86" w:rsidRDefault="00186D86" w:rsidP="00186D86">
      <w:pPr>
        <w:rPr>
          <w:rFonts w:hint="eastAsia"/>
        </w:rPr>
      </w:pPr>
    </w:p>
    <w:tbl>
      <w:tblPr>
        <w:tblStyle w:val="a7"/>
        <w:tblW w:w="8642" w:type="dxa"/>
        <w:tblInd w:w="-5" w:type="dxa"/>
        <w:tblLook w:val="01E0" w:firstRow="1" w:lastRow="1" w:firstColumn="1" w:lastColumn="1" w:noHBand="0" w:noVBand="0"/>
      </w:tblPr>
      <w:tblGrid>
        <w:gridCol w:w="567"/>
        <w:gridCol w:w="5529"/>
        <w:gridCol w:w="359"/>
        <w:gridCol w:w="392"/>
        <w:gridCol w:w="359"/>
        <w:gridCol w:w="359"/>
        <w:gridCol w:w="359"/>
        <w:gridCol w:w="359"/>
        <w:gridCol w:w="359"/>
      </w:tblGrid>
      <w:tr w:rsidR="00186D86" w:rsidRPr="00640A71" w:rsidTr="00903463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我小心翼翼地避免生活中的负面影响。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shd w:val="clear" w:color="auto" w:fill="E0E0E0"/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529" w:type="dxa"/>
            <w:shd w:val="clear" w:color="auto" w:fill="E0E0E0"/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我很担心工作中的失职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我经常在想如何实现我的抱负。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shd w:val="clear" w:color="auto" w:fill="E0E0E0"/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529" w:type="dxa"/>
            <w:shd w:val="clear" w:color="auto" w:fill="E0E0E0"/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我经常会想一些我害怕发生的事情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我经常会憧憬我的理想自我。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shd w:val="clear" w:color="auto" w:fill="E0E0E0"/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529" w:type="dxa"/>
            <w:shd w:val="clear" w:color="auto" w:fill="E0E0E0"/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我特别关注于未来要获得的成就。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我经常担心实现不了自己的职业目标。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shd w:val="clear" w:color="auto" w:fill="E0E0E0"/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529" w:type="dxa"/>
            <w:shd w:val="clear" w:color="auto" w:fill="E0E0E0"/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我经常思考如何让自己成功。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我经常想象：那些自己所害怕的坏事全落到自己头上。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shd w:val="clear" w:color="auto" w:fill="E0E0E0"/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529" w:type="dxa"/>
            <w:shd w:val="clear" w:color="auto" w:fill="E0E0E0"/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我经常考虑如何才能避免人生中的失败。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我经常努力避免失败（而不是去争取成功）。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shd w:val="clear" w:color="auto" w:fill="E0E0E0"/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529" w:type="dxa"/>
            <w:shd w:val="clear" w:color="auto" w:fill="E0E0E0"/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我工作主要是为了实现自己的职业目标。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我主要是防止在工作中出现失误。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shd w:val="clear" w:color="auto" w:fill="E0E0E0"/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529" w:type="dxa"/>
            <w:shd w:val="clear" w:color="auto" w:fill="E0E0E0"/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我认为我是一个为实现理想自我而努力奋斗的人。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我认为我是一个为完成工作任务而努力的人。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总的来说，我努力实现自己的人生目标。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186D86" w:rsidRPr="00AA6E0D" w:rsidRDefault="00186D86" w:rsidP="00186D86">
            <w:pPr>
              <w:rPr>
                <w:rFonts w:hint="eastAsia"/>
              </w:rPr>
            </w:pPr>
            <w:r w:rsidRPr="00AA6E0D">
              <w:rPr>
                <w:rFonts w:hint="eastAsia"/>
              </w:rPr>
              <w:t>我经常想象世上的好事我都有份。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  <w:tr w:rsidR="00186D86" w:rsidRPr="00640A71" w:rsidTr="00903463">
        <w:tc>
          <w:tcPr>
            <w:tcW w:w="5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86D86" w:rsidRDefault="00186D86" w:rsidP="00186D86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86D86" w:rsidRDefault="00186D86" w:rsidP="00186D86">
            <w:r w:rsidRPr="00AA6E0D">
              <w:rPr>
                <w:rFonts w:hint="eastAsia"/>
              </w:rPr>
              <w:t>总的来说，我倾向于争取成功（而不是避免失败）。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6</w:t>
            </w:r>
          </w:p>
        </w:tc>
        <w:tc>
          <w:tcPr>
            <w:tcW w:w="359" w:type="dxa"/>
            <w:shd w:val="clear" w:color="auto" w:fill="E0E0E0"/>
          </w:tcPr>
          <w:p w:rsidR="00186D86" w:rsidRPr="00640A71" w:rsidRDefault="00186D86" w:rsidP="00186D86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宋体" w:cs="Arial" w:hint="eastAsia"/>
                <w:b/>
                <w:szCs w:val="21"/>
              </w:rPr>
            </w:pPr>
            <w:r w:rsidRPr="00640A71">
              <w:rPr>
                <w:rFonts w:ascii="宋体" w:hAnsi="宋体" w:cs="Arial" w:hint="eastAsia"/>
                <w:b/>
                <w:szCs w:val="21"/>
              </w:rPr>
              <w:t>7</w:t>
            </w:r>
          </w:p>
        </w:tc>
      </w:tr>
    </w:tbl>
    <w:p w:rsidR="00186D86" w:rsidRDefault="00186D86" w:rsidP="00186D86">
      <w:pPr>
        <w:spacing w:line="360" w:lineRule="auto"/>
        <w:rPr>
          <w:rFonts w:ascii="宋体" w:hAnsi="宋体"/>
          <w:szCs w:val="21"/>
        </w:rPr>
      </w:pPr>
    </w:p>
    <w:p w:rsidR="00186D86" w:rsidRDefault="00186D86" w:rsidP="00186D86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186D86" w:rsidRDefault="00186D86" w:rsidP="00186D86">
      <w:pPr>
        <w:spacing w:line="360" w:lineRule="auto"/>
        <w:ind w:firstLine="420"/>
        <w:rPr>
          <w:sz w:val="24"/>
        </w:rPr>
      </w:pPr>
      <w:r>
        <w:rPr>
          <w:sz w:val="24"/>
        </w:rPr>
        <w:t>GRFM</w:t>
      </w:r>
      <w:r>
        <w:rPr>
          <w:rFonts w:hint="eastAsia"/>
          <w:sz w:val="24"/>
        </w:rPr>
        <w:t>问卷包括：促进型调节焦点和保守型调节焦点两个分量表，</w:t>
      </w:r>
      <w:r w:rsidRPr="001E0AC6">
        <w:rPr>
          <w:rFonts w:hint="eastAsia"/>
          <w:sz w:val="24"/>
        </w:rPr>
        <w:t>可以计算每个分量表所包括题目的总分或平均分。每个分量表包括的题目如下：</w:t>
      </w:r>
    </w:p>
    <w:p w:rsidR="00186D86" w:rsidRDefault="00186D86" w:rsidP="00186D86">
      <w:pPr>
        <w:spacing w:line="360" w:lineRule="auto"/>
        <w:ind w:firstLine="420"/>
        <w:rPr>
          <w:sz w:val="24"/>
        </w:rPr>
      </w:pPr>
      <w:r w:rsidRPr="00186D86">
        <w:rPr>
          <w:rFonts w:hint="eastAsia"/>
          <w:sz w:val="24"/>
        </w:rPr>
        <w:t>促进型调节焦点：总共</w:t>
      </w:r>
      <w:r w:rsidRPr="00186D86">
        <w:rPr>
          <w:rFonts w:hint="eastAsia"/>
          <w:sz w:val="24"/>
        </w:rPr>
        <w:t>9</w:t>
      </w:r>
      <w:r w:rsidRPr="00186D86">
        <w:rPr>
          <w:rFonts w:hint="eastAsia"/>
          <w:sz w:val="24"/>
        </w:rPr>
        <w:t>道题项，包括：</w:t>
      </w:r>
      <w:r w:rsidRPr="00186D86">
        <w:rPr>
          <w:rFonts w:hint="eastAsia"/>
          <w:sz w:val="24"/>
        </w:rPr>
        <w:t>3</w:t>
      </w:r>
      <w:r w:rsidRPr="00186D86">
        <w:rPr>
          <w:rFonts w:hint="eastAsia"/>
          <w:sz w:val="24"/>
        </w:rPr>
        <w:t>、</w:t>
      </w:r>
      <w:r w:rsidRPr="00186D86">
        <w:rPr>
          <w:rFonts w:hint="eastAsia"/>
          <w:sz w:val="24"/>
        </w:rPr>
        <w:t>5</w:t>
      </w:r>
      <w:r w:rsidRPr="00186D86">
        <w:rPr>
          <w:rFonts w:hint="eastAsia"/>
          <w:sz w:val="24"/>
        </w:rPr>
        <w:t>、</w:t>
      </w:r>
      <w:r w:rsidRPr="00186D86">
        <w:rPr>
          <w:rFonts w:hint="eastAsia"/>
          <w:sz w:val="24"/>
        </w:rPr>
        <w:t>6</w:t>
      </w:r>
      <w:r w:rsidRPr="00186D86">
        <w:rPr>
          <w:rFonts w:hint="eastAsia"/>
          <w:sz w:val="24"/>
        </w:rPr>
        <w:t>、</w:t>
      </w:r>
      <w:r w:rsidRPr="00186D86">
        <w:rPr>
          <w:rFonts w:hint="eastAsia"/>
          <w:sz w:val="24"/>
        </w:rPr>
        <w:t>8</w:t>
      </w:r>
      <w:r w:rsidRPr="00186D86">
        <w:rPr>
          <w:rFonts w:hint="eastAsia"/>
          <w:sz w:val="24"/>
        </w:rPr>
        <w:t>、</w:t>
      </w:r>
      <w:r w:rsidRPr="00186D86">
        <w:rPr>
          <w:rFonts w:hint="eastAsia"/>
          <w:sz w:val="24"/>
        </w:rPr>
        <w:t>12</w:t>
      </w:r>
      <w:r w:rsidRPr="00186D86">
        <w:rPr>
          <w:rFonts w:hint="eastAsia"/>
          <w:sz w:val="24"/>
        </w:rPr>
        <w:t>、</w:t>
      </w:r>
      <w:r w:rsidRPr="00186D86">
        <w:rPr>
          <w:rFonts w:hint="eastAsia"/>
          <w:sz w:val="24"/>
        </w:rPr>
        <w:t>14</w:t>
      </w:r>
      <w:r w:rsidRPr="00186D86">
        <w:rPr>
          <w:rFonts w:hint="eastAsia"/>
          <w:sz w:val="24"/>
        </w:rPr>
        <w:t>、</w:t>
      </w:r>
      <w:r w:rsidRPr="00186D86">
        <w:rPr>
          <w:rFonts w:hint="eastAsia"/>
          <w:sz w:val="24"/>
        </w:rPr>
        <w:t>16</w:t>
      </w:r>
      <w:r w:rsidRPr="00186D86">
        <w:rPr>
          <w:rFonts w:hint="eastAsia"/>
          <w:sz w:val="24"/>
        </w:rPr>
        <w:t>、</w:t>
      </w:r>
      <w:r w:rsidRPr="00186D86">
        <w:rPr>
          <w:rFonts w:hint="eastAsia"/>
          <w:sz w:val="24"/>
        </w:rPr>
        <w:t>17</w:t>
      </w:r>
      <w:r w:rsidRPr="00186D86">
        <w:rPr>
          <w:rFonts w:hint="eastAsia"/>
          <w:sz w:val="24"/>
        </w:rPr>
        <w:t>、</w:t>
      </w:r>
      <w:r w:rsidRPr="00186D86">
        <w:rPr>
          <w:rFonts w:hint="eastAsia"/>
          <w:sz w:val="24"/>
        </w:rPr>
        <w:t>18</w:t>
      </w:r>
      <w:r w:rsidRPr="00186D86">
        <w:rPr>
          <w:rFonts w:hint="eastAsia"/>
          <w:sz w:val="24"/>
        </w:rPr>
        <w:t>题。</w:t>
      </w:r>
    </w:p>
    <w:p w:rsidR="00186D86" w:rsidRPr="00186D86" w:rsidRDefault="00186D86" w:rsidP="00186D86">
      <w:pPr>
        <w:spacing w:line="360" w:lineRule="auto"/>
        <w:ind w:firstLine="420"/>
        <w:rPr>
          <w:sz w:val="24"/>
        </w:rPr>
      </w:pPr>
      <w:r w:rsidRPr="00186D86">
        <w:rPr>
          <w:rFonts w:hint="eastAsia"/>
          <w:sz w:val="24"/>
        </w:rPr>
        <w:t>保守型调节焦点：总共</w:t>
      </w:r>
      <w:r w:rsidRPr="00186D86">
        <w:rPr>
          <w:rFonts w:hint="eastAsia"/>
          <w:sz w:val="24"/>
        </w:rPr>
        <w:t>9</w:t>
      </w:r>
      <w:r w:rsidRPr="00186D86">
        <w:rPr>
          <w:rFonts w:hint="eastAsia"/>
          <w:sz w:val="24"/>
        </w:rPr>
        <w:t>道题项，包括：</w:t>
      </w:r>
      <w:r w:rsidRPr="00186D86">
        <w:rPr>
          <w:rFonts w:hint="eastAsia"/>
          <w:sz w:val="24"/>
        </w:rPr>
        <w:t>1</w:t>
      </w:r>
      <w:r w:rsidRPr="00186D86">
        <w:rPr>
          <w:rFonts w:hint="eastAsia"/>
          <w:sz w:val="24"/>
        </w:rPr>
        <w:t>、</w:t>
      </w:r>
      <w:r w:rsidRPr="00186D86">
        <w:rPr>
          <w:rFonts w:hint="eastAsia"/>
          <w:sz w:val="24"/>
        </w:rPr>
        <w:t>2</w:t>
      </w:r>
      <w:r w:rsidRPr="00186D86">
        <w:rPr>
          <w:rFonts w:hint="eastAsia"/>
          <w:sz w:val="24"/>
        </w:rPr>
        <w:t>、</w:t>
      </w:r>
      <w:r w:rsidRPr="00186D86">
        <w:rPr>
          <w:rFonts w:hint="eastAsia"/>
          <w:sz w:val="24"/>
        </w:rPr>
        <w:t>4</w:t>
      </w:r>
      <w:r w:rsidRPr="00186D86">
        <w:rPr>
          <w:rFonts w:hint="eastAsia"/>
          <w:sz w:val="24"/>
        </w:rPr>
        <w:t>、</w:t>
      </w:r>
      <w:r w:rsidRPr="00186D86">
        <w:rPr>
          <w:rFonts w:hint="eastAsia"/>
          <w:sz w:val="24"/>
        </w:rPr>
        <w:t>7</w:t>
      </w:r>
      <w:r w:rsidRPr="00186D86">
        <w:rPr>
          <w:rFonts w:hint="eastAsia"/>
          <w:sz w:val="24"/>
        </w:rPr>
        <w:t>、</w:t>
      </w:r>
      <w:r w:rsidRPr="00186D86">
        <w:rPr>
          <w:rFonts w:hint="eastAsia"/>
          <w:sz w:val="24"/>
        </w:rPr>
        <w:t>9</w:t>
      </w:r>
      <w:r w:rsidRPr="00186D86">
        <w:rPr>
          <w:rFonts w:hint="eastAsia"/>
          <w:sz w:val="24"/>
        </w:rPr>
        <w:t>、</w:t>
      </w:r>
      <w:r w:rsidRPr="00186D86">
        <w:rPr>
          <w:rFonts w:hint="eastAsia"/>
          <w:sz w:val="24"/>
        </w:rPr>
        <w:t>10</w:t>
      </w:r>
      <w:r w:rsidRPr="00186D86">
        <w:rPr>
          <w:rFonts w:hint="eastAsia"/>
          <w:sz w:val="24"/>
        </w:rPr>
        <w:t>、</w:t>
      </w:r>
      <w:r w:rsidRPr="00186D86">
        <w:rPr>
          <w:rFonts w:hint="eastAsia"/>
          <w:sz w:val="24"/>
        </w:rPr>
        <w:t>11</w:t>
      </w:r>
      <w:r w:rsidRPr="00186D86">
        <w:rPr>
          <w:rFonts w:hint="eastAsia"/>
          <w:sz w:val="24"/>
        </w:rPr>
        <w:t>、</w:t>
      </w:r>
      <w:r w:rsidRPr="00186D86">
        <w:rPr>
          <w:rFonts w:hint="eastAsia"/>
          <w:sz w:val="24"/>
        </w:rPr>
        <w:t>13</w:t>
      </w:r>
      <w:r w:rsidRPr="00186D86">
        <w:rPr>
          <w:rFonts w:hint="eastAsia"/>
          <w:sz w:val="24"/>
        </w:rPr>
        <w:t>、</w:t>
      </w:r>
      <w:r w:rsidRPr="00186D86">
        <w:rPr>
          <w:rFonts w:hint="eastAsia"/>
          <w:sz w:val="24"/>
        </w:rPr>
        <w:t>15</w:t>
      </w:r>
      <w:r w:rsidRPr="00186D86">
        <w:rPr>
          <w:rFonts w:hint="eastAsia"/>
          <w:sz w:val="24"/>
        </w:rPr>
        <w:t>题。</w:t>
      </w:r>
    </w:p>
    <w:p w:rsidR="00186D86" w:rsidRPr="00186D86" w:rsidRDefault="00186D86" w:rsidP="00186D86">
      <w:pPr>
        <w:spacing w:line="312" w:lineRule="auto"/>
        <w:rPr>
          <w:rFonts w:hint="eastAsia"/>
        </w:rPr>
      </w:pPr>
    </w:p>
    <w:p w:rsidR="00186D86" w:rsidRDefault="00186D86" w:rsidP="00186D86">
      <w:pPr>
        <w:spacing w:line="312" w:lineRule="auto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186D86" w:rsidRDefault="00186D86" w:rsidP="00186D86">
      <w:pPr>
        <w:widowControl/>
        <w:spacing w:line="312" w:lineRule="auto"/>
        <w:jc w:val="left"/>
        <w:rPr>
          <w:sz w:val="24"/>
        </w:rPr>
      </w:pPr>
      <w:r w:rsidRPr="001E0AC6">
        <w:rPr>
          <w:sz w:val="24"/>
        </w:rPr>
        <w:t xml:space="preserve">Zhao, X., &amp; </w:t>
      </w:r>
      <w:proofErr w:type="spellStart"/>
      <w:r w:rsidRPr="001E0AC6">
        <w:rPr>
          <w:sz w:val="24"/>
        </w:rPr>
        <w:t>Namasivayam</w:t>
      </w:r>
      <w:proofErr w:type="spellEnd"/>
      <w:r w:rsidRPr="001E0AC6">
        <w:rPr>
          <w:sz w:val="24"/>
        </w:rPr>
        <w:t xml:space="preserve">, K. (2012). The relationship of chronic regulatory focus to work-family conflict and job satisfaction. International Journal of Hospitality Management, 31(2), 458-467. </w:t>
      </w:r>
      <w:proofErr w:type="spellStart"/>
      <w:r w:rsidRPr="001E0AC6">
        <w:rPr>
          <w:sz w:val="24"/>
        </w:rPr>
        <w:t>doi</w:t>
      </w:r>
      <w:proofErr w:type="spellEnd"/>
      <w:r w:rsidRPr="001E0AC6">
        <w:rPr>
          <w:sz w:val="24"/>
        </w:rPr>
        <w:t>: 10.1016/j.ijhm.2011.07.004</w:t>
      </w:r>
    </w:p>
    <w:p w:rsidR="00186D86" w:rsidRDefault="00186D86" w:rsidP="00186D86">
      <w:pPr>
        <w:widowControl/>
        <w:spacing w:line="312" w:lineRule="auto"/>
        <w:jc w:val="left"/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</w:pPr>
    </w:p>
    <w:p w:rsidR="00186D86" w:rsidRPr="00142C33" w:rsidRDefault="00186D86" w:rsidP="00186D86">
      <w:pPr>
        <w:spacing w:line="400" w:lineRule="atLeast"/>
        <w:ind w:firstLine="420"/>
        <w:rPr>
          <w:rFonts w:ascii="黑体" w:eastAsia="黑体" w:hAnsi="宋体" w:hint="eastAsia"/>
          <w:color w:val="FF0000"/>
          <w:sz w:val="24"/>
        </w:rPr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6" w:history="1">
        <w:r w:rsidRPr="005B4E67">
          <w:rPr>
            <w:rStyle w:val="a5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p w:rsidR="00186D86" w:rsidRPr="006A6136" w:rsidRDefault="00186D86" w:rsidP="00186D86">
      <w:pPr>
        <w:widowControl/>
        <w:spacing w:line="312" w:lineRule="auto"/>
        <w:jc w:val="left"/>
        <w:rPr>
          <w:rFonts w:ascii="宋体" w:hAnsi="宋体"/>
          <w:kern w:val="0"/>
          <w:szCs w:val="21"/>
        </w:rPr>
      </w:pPr>
    </w:p>
    <w:p w:rsidR="000B05FC" w:rsidRPr="00186D86" w:rsidRDefault="000B05FC"/>
    <w:sectPr w:rsidR="000B05FC" w:rsidRPr="00186D8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AF" w:rsidRDefault="00903463" w:rsidP="007213AF">
    <w:pPr>
      <w:pStyle w:val="a3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 w:rsidRPr="005B4E67">
        <w:rPr>
          <w:rStyle w:val="a5"/>
          <w:rFonts w:hint="eastAsia"/>
        </w:rPr>
        <w:t>www.obhrm.net</w:t>
      </w:r>
    </w:hyperlink>
    <w:r>
      <w:rPr>
        <w:rFonts w:hint="eastAsia"/>
      </w:rPr>
      <w:t>）</w:t>
    </w:r>
    <w:r>
      <w:rPr>
        <w:rFonts w:hint="eastAsia"/>
      </w:rPr>
      <w:t>整理，供</w:t>
    </w:r>
    <w:r>
      <w:rPr>
        <w:rFonts w:hint="eastAsia"/>
      </w:rPr>
      <w:t>学者</w:t>
    </w:r>
    <w:r>
      <w:rPr>
        <w:rFonts w:hint="eastAsia"/>
      </w:rPr>
      <w:t>在学术</w:t>
    </w:r>
    <w:r>
      <w:rPr>
        <w:rFonts w:hint="eastAsia"/>
      </w:rPr>
      <w:t>研究</w:t>
    </w:r>
    <w:r>
      <w:rPr>
        <w:rFonts w:hint="eastAsia"/>
      </w:rPr>
      <w:t>中</w:t>
    </w:r>
    <w:r>
      <w:rPr>
        <w:rFonts w:hint="eastAsia"/>
      </w:rPr>
      <w:t>使用，</w:t>
    </w:r>
    <w:r>
      <w:rPr>
        <w:rFonts w:hint="eastAsia"/>
      </w:rPr>
      <w:t>商业使用请与原作者联系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091B"/>
    <w:multiLevelType w:val="hybridMultilevel"/>
    <w:tmpl w:val="1528DEC0"/>
    <w:lvl w:ilvl="0" w:tplc="49D4DB70">
      <w:start w:val="1"/>
      <w:numFmt w:val="decimal"/>
      <w:lvlText w:val="（%1）"/>
      <w:lvlJc w:val="left"/>
      <w:pPr>
        <w:ind w:left="840" w:hanging="420"/>
      </w:pPr>
      <w:rPr>
        <w:rFonts w:ascii="Times New Roman" w:eastAsia="楷体_GB2312" w:hAnsi="Times New Roman" w:cs="Times New Roman"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86"/>
    <w:rsid w:val="000B05FC"/>
    <w:rsid w:val="00186D86"/>
    <w:rsid w:val="0090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F5F9"/>
  <w15:chartTrackingRefBased/>
  <w15:docId w15:val="{DD22EFED-DBDA-40B5-B30C-63A781D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86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6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186D8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rsid w:val="00186D8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186D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6D8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rsid w:val="00186D8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hrm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E5E0-99D1-48EC-B0C7-88B6DD4D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Chaoping LI</dc:creator>
  <cp:keywords/>
  <dc:description/>
  <cp:lastModifiedBy>Chaoping LI</cp:lastModifiedBy>
  <cp:revision>1</cp:revision>
  <dcterms:created xsi:type="dcterms:W3CDTF">2017-05-08T16:11:00Z</dcterms:created>
  <dcterms:modified xsi:type="dcterms:W3CDTF">2017-05-08T16:27:00Z</dcterms:modified>
</cp:coreProperties>
</file>