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28E" w:rsidRPr="00241DA3" w:rsidRDefault="00537D20" w:rsidP="00241DA3">
      <w:pPr>
        <w:jc w:val="center"/>
        <w:rPr>
          <w:rFonts w:ascii="黑体" w:eastAsia="黑体" w:hAnsi="黑体" w:cs="Times New Roman"/>
          <w:sz w:val="24"/>
          <w:szCs w:val="24"/>
        </w:rPr>
      </w:pPr>
      <w:r w:rsidRPr="00241DA3">
        <w:rPr>
          <w:rFonts w:ascii="黑体" w:eastAsia="黑体" w:hAnsi="黑体" w:cs="Times New Roman" w:hint="eastAsia"/>
          <w:sz w:val="24"/>
          <w:szCs w:val="24"/>
        </w:rPr>
        <w:t>双元能力</w:t>
      </w:r>
      <w:r w:rsidR="00C8341A" w:rsidRPr="00241DA3">
        <w:rPr>
          <w:rFonts w:ascii="黑体" w:eastAsia="黑体" w:hAnsi="黑体" w:cs="Times New Roman" w:hint="eastAsia"/>
          <w:sz w:val="24"/>
          <w:szCs w:val="24"/>
        </w:rPr>
        <w:t>（肖丁丁和朱桂龙，2017）</w:t>
      </w:r>
    </w:p>
    <w:p w:rsidR="00537D20" w:rsidRPr="00241DA3" w:rsidRDefault="00C8341A" w:rsidP="00241DA3">
      <w:pPr>
        <w:jc w:val="center"/>
        <w:rPr>
          <w:rFonts w:ascii="黑体" w:eastAsia="黑体" w:hAnsi="黑体" w:cs="Times New Roman"/>
          <w:sz w:val="24"/>
          <w:szCs w:val="24"/>
        </w:rPr>
      </w:pPr>
      <w:r w:rsidRPr="00241DA3">
        <w:rPr>
          <w:rFonts w:ascii="黑体" w:eastAsia="黑体" w:hAnsi="黑体" w:cs="Times New Roman" w:hint="eastAsia"/>
          <w:sz w:val="24"/>
          <w:szCs w:val="24"/>
        </w:rPr>
        <w:t>（</w:t>
      </w:r>
      <w:r w:rsidR="0055557A" w:rsidRPr="0055557A">
        <w:rPr>
          <w:rFonts w:ascii="黑体" w:eastAsia="黑体" w:hAnsi="黑体" w:cs="Times New Roman"/>
          <w:sz w:val="24"/>
          <w:szCs w:val="24"/>
        </w:rPr>
        <w:t>Ambidexterity Capacity</w:t>
      </w:r>
      <w:bookmarkStart w:id="0" w:name="_GoBack"/>
      <w:bookmarkEnd w:id="0"/>
      <w:r w:rsidRPr="00241DA3">
        <w:rPr>
          <w:rFonts w:ascii="黑体" w:eastAsia="黑体" w:hAnsi="黑体" w:cs="Times New Roman"/>
          <w:sz w:val="24"/>
          <w:szCs w:val="24"/>
        </w:rPr>
        <w:t xml:space="preserve"> S</w:t>
      </w:r>
      <w:r w:rsidRPr="00241DA3">
        <w:rPr>
          <w:rFonts w:ascii="黑体" w:eastAsia="黑体" w:hAnsi="黑体" w:cs="Times New Roman" w:hint="eastAsia"/>
          <w:sz w:val="24"/>
          <w:szCs w:val="24"/>
        </w:rPr>
        <w:t>cale）</w:t>
      </w:r>
    </w:p>
    <w:p w:rsidR="00C8341A" w:rsidRDefault="00C8341A" w:rsidP="00241DA3">
      <w:pPr>
        <w:jc w:val="center"/>
      </w:pPr>
    </w:p>
    <w:p w:rsidR="009D071C" w:rsidRDefault="009D071C"/>
    <w:p w:rsidR="009D071C" w:rsidRPr="009D071C" w:rsidRDefault="009D071C" w:rsidP="009D071C">
      <w:pPr>
        <w:spacing w:line="312" w:lineRule="auto"/>
        <w:rPr>
          <w:rFonts w:ascii="黑体" w:eastAsia="黑体" w:hAnsi="黑体"/>
          <w:sz w:val="30"/>
          <w:szCs w:val="30"/>
        </w:rPr>
      </w:pPr>
      <w:r w:rsidRPr="009D071C">
        <w:rPr>
          <w:rFonts w:ascii="黑体" w:eastAsia="黑体" w:hAnsi="黑体" w:hint="eastAsia"/>
          <w:sz w:val="30"/>
          <w:szCs w:val="30"/>
        </w:rPr>
        <w:t>简介</w:t>
      </w:r>
    </w:p>
    <w:p w:rsidR="009D071C" w:rsidRPr="0076229D" w:rsidRDefault="009D071C" w:rsidP="009D071C">
      <w:pPr>
        <w:pStyle w:val="a9"/>
        <w:spacing w:line="240" w:lineRule="auto"/>
        <w:rPr>
          <w:sz w:val="21"/>
        </w:rPr>
      </w:pPr>
      <w:r w:rsidRPr="0076229D">
        <w:rPr>
          <w:rFonts w:hint="eastAsia"/>
          <w:sz w:val="21"/>
        </w:rPr>
        <w:t>双元能力平衡是指企业在探索与开发活动之间相对平衡的资源配置，以保证组织内部双元能力水平的协调性，从而有效提升企业绩效（肖丁丁，</w:t>
      </w:r>
      <w:r w:rsidRPr="0076229D">
        <w:rPr>
          <w:rFonts w:hint="eastAsia"/>
          <w:sz w:val="21"/>
        </w:rPr>
        <w:t>2013</w:t>
      </w:r>
      <w:r w:rsidRPr="0076229D">
        <w:rPr>
          <w:rFonts w:hint="eastAsia"/>
          <w:sz w:val="21"/>
        </w:rPr>
        <w:t>）。如果企业过多侧重于某一种创新行为，将会受到路径依赖与核心刚性的限制，往往陷入过度开发或探索的“能力陷阱”。为了避免陷入两难境地，</w:t>
      </w:r>
      <w:r w:rsidRPr="0076229D">
        <w:rPr>
          <w:rFonts w:hint="eastAsia"/>
          <w:sz w:val="21"/>
        </w:rPr>
        <w:t>March</w:t>
      </w:r>
      <w:r w:rsidRPr="0076229D">
        <w:rPr>
          <w:rFonts w:hint="eastAsia"/>
          <w:sz w:val="21"/>
        </w:rPr>
        <w:t>（</w:t>
      </w:r>
      <w:r w:rsidRPr="0076229D">
        <w:rPr>
          <w:rFonts w:hint="eastAsia"/>
          <w:sz w:val="21"/>
        </w:rPr>
        <w:t>1991</w:t>
      </w:r>
      <w:r w:rsidRPr="0076229D">
        <w:rPr>
          <w:rFonts w:hint="eastAsia"/>
          <w:sz w:val="21"/>
        </w:rPr>
        <w:t>）认为企业应同时进行探索式和利用式创新，并尽量寻求二者的平衡，从而避免无序竞争导致的低配置效率。</w:t>
      </w:r>
    </w:p>
    <w:p w:rsidR="009D071C" w:rsidRPr="009D071C" w:rsidRDefault="009D071C"/>
    <w:p w:rsidR="009D071C" w:rsidRPr="00FD6E9F" w:rsidRDefault="009D071C" w:rsidP="009D071C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信度与效度</w:t>
      </w:r>
    </w:p>
    <w:p w:rsidR="009D071C" w:rsidRDefault="009D071C" w:rsidP="009D071C">
      <w:pPr>
        <w:ind w:firstLineChars="200" w:firstLine="420"/>
      </w:pPr>
      <w:r w:rsidRPr="00FD6E9F">
        <w:rPr>
          <w:rFonts w:hint="eastAsia"/>
        </w:rPr>
        <w:t>本研究以前期典型案例访谈为基础，采用问卷调查方式收集数据。在调查区域、行业类别、企业资质、填写人等方面设定了如下筛选标准：首先，样本企业应来自于协同创新基础良好、科技与经济融合程度较高的地区；其次，样本企业至少正常运营三年以上，并且属于具备一定研发资质的制造行业；最后，问卷需由熟悉企业运营情况，具备至少三年研发或管理经验的人员填写。基于上述准则，本文将山东、浙江和广东作为备选区域，考虑到回收时间、应答率等影响因素，采用政府科技部门代发、电子邮件、合作者代发与现场发放相结合的方式，累计发放问卷</w:t>
      </w:r>
      <w:r w:rsidRPr="00FD6E9F">
        <w:rPr>
          <w:rFonts w:hint="eastAsia"/>
        </w:rPr>
        <w:t>1934</w:t>
      </w:r>
      <w:r w:rsidRPr="00FD6E9F">
        <w:rPr>
          <w:rFonts w:hint="eastAsia"/>
        </w:rPr>
        <w:t>份，回收</w:t>
      </w:r>
      <w:r w:rsidRPr="00FD6E9F">
        <w:rPr>
          <w:rFonts w:hint="eastAsia"/>
        </w:rPr>
        <w:t>432</w:t>
      </w:r>
      <w:r w:rsidRPr="00FD6E9F">
        <w:rPr>
          <w:rFonts w:hint="eastAsia"/>
        </w:rPr>
        <w:t>份，其中有效问卷</w:t>
      </w:r>
      <w:r w:rsidRPr="00FD6E9F">
        <w:rPr>
          <w:rFonts w:hint="eastAsia"/>
        </w:rPr>
        <w:t>338</w:t>
      </w:r>
      <w:r w:rsidRPr="00FD6E9F">
        <w:rPr>
          <w:rFonts w:hint="eastAsia"/>
        </w:rPr>
        <w:t>份，有效回收率为</w:t>
      </w:r>
      <w:r w:rsidRPr="00FD6E9F">
        <w:rPr>
          <w:rFonts w:hint="eastAsia"/>
        </w:rPr>
        <w:t>17.48%</w:t>
      </w:r>
      <w:r w:rsidRPr="00FD6E9F">
        <w:rPr>
          <w:rFonts w:hint="eastAsia"/>
        </w:rPr>
        <w:t>。</w:t>
      </w:r>
      <w:r w:rsidRPr="0076229D">
        <w:rPr>
          <w:rFonts w:hint="eastAsia"/>
        </w:rPr>
        <w:sym w:font="Symbol" w:char="F061"/>
      </w:r>
      <w:r w:rsidRPr="0076229D">
        <w:rPr>
          <w:rFonts w:hint="eastAsia"/>
        </w:rPr>
        <w:t>值分别为</w:t>
      </w:r>
      <w:r w:rsidRPr="0076229D">
        <w:rPr>
          <w:rFonts w:hint="eastAsia"/>
        </w:rPr>
        <w:t>0.841</w:t>
      </w:r>
      <w:r w:rsidRPr="0076229D">
        <w:rPr>
          <w:rFonts w:hint="eastAsia"/>
        </w:rPr>
        <w:t>、</w:t>
      </w:r>
      <w:r w:rsidRPr="0076229D">
        <w:rPr>
          <w:rFonts w:hint="eastAsia"/>
        </w:rPr>
        <w:t>0.815</w:t>
      </w:r>
      <w:r>
        <w:rPr>
          <w:rFonts w:hint="eastAsia"/>
        </w:rPr>
        <w:t>。</w:t>
      </w:r>
    </w:p>
    <w:p w:rsidR="009D071C" w:rsidRDefault="009D071C" w:rsidP="009D071C"/>
    <w:p w:rsidR="009D071C" w:rsidRDefault="009D071C" w:rsidP="009D071C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量表</w:t>
      </w:r>
    </w:p>
    <w:p w:rsidR="00537D20" w:rsidRDefault="00537D20" w:rsidP="00C8341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探索新产品或服务</w:t>
      </w:r>
    </w:p>
    <w:p w:rsidR="00537D20" w:rsidRDefault="00537D20" w:rsidP="00C8341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发现潜在机会</w:t>
      </w:r>
    </w:p>
    <w:p w:rsidR="00537D20" w:rsidRDefault="00537D20" w:rsidP="00C8341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利用新渠道</w:t>
      </w:r>
    </w:p>
    <w:p w:rsidR="00537D20" w:rsidRDefault="00537D20" w:rsidP="00C8341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拓展新客户</w:t>
      </w:r>
    </w:p>
    <w:p w:rsidR="00537D20" w:rsidRDefault="00537D20" w:rsidP="00C8341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改进现有产品与服务</w:t>
      </w:r>
    </w:p>
    <w:p w:rsidR="00537D20" w:rsidRPr="00537D20" w:rsidRDefault="00537D20" w:rsidP="00C8341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改善现有工艺或流程</w:t>
      </w:r>
    </w:p>
    <w:p w:rsidR="00537D20" w:rsidRDefault="00537D20"/>
    <w:p w:rsidR="00EE08FB" w:rsidRDefault="00EE08FB" w:rsidP="00EE08FB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计分方法</w:t>
      </w:r>
    </w:p>
    <w:p w:rsidR="00EE08FB" w:rsidRDefault="00EB23B8">
      <w:r>
        <w:rPr>
          <w:rFonts w:hint="eastAsia"/>
        </w:rPr>
        <w:t xml:space="preserve">    </w:t>
      </w:r>
      <w:r>
        <w:rPr>
          <w:rFonts w:hint="eastAsia"/>
        </w:rPr>
        <w:t>双元能力包括探索能力和开发能力两个维度，其中</w:t>
      </w:r>
      <w:r w:rsidR="00C8341A">
        <w:rPr>
          <w:rFonts w:hint="eastAsia"/>
        </w:rPr>
        <w:t>1-</w:t>
      </w:r>
      <w:r w:rsidR="00C8341A">
        <w:t>3</w:t>
      </w:r>
      <w:r>
        <w:rPr>
          <w:rFonts w:hint="eastAsia"/>
        </w:rPr>
        <w:t>测量的是</w:t>
      </w:r>
      <w:r w:rsidR="00C8341A">
        <w:rPr>
          <w:rFonts w:hint="eastAsia"/>
        </w:rPr>
        <w:t>探索能力</w:t>
      </w:r>
      <w:r>
        <w:rPr>
          <w:rFonts w:hint="eastAsia"/>
        </w:rPr>
        <w:t>，</w:t>
      </w:r>
      <w:r w:rsidR="00C8341A">
        <w:rPr>
          <w:rFonts w:hint="eastAsia"/>
        </w:rPr>
        <w:t>4-</w:t>
      </w:r>
      <w:r w:rsidR="00C8341A">
        <w:t>6</w:t>
      </w:r>
      <w:r>
        <w:rPr>
          <w:rFonts w:hint="eastAsia"/>
        </w:rPr>
        <w:t>测量的是</w:t>
      </w:r>
      <w:r w:rsidR="00C8341A">
        <w:rPr>
          <w:rFonts w:hint="eastAsia"/>
        </w:rPr>
        <w:t>开发能力</w:t>
      </w:r>
      <w:r>
        <w:rPr>
          <w:rFonts w:hint="eastAsia"/>
        </w:rPr>
        <w:t>。计算各个维度的平均值。</w:t>
      </w:r>
    </w:p>
    <w:p w:rsidR="00EE08FB" w:rsidRDefault="00EE08FB"/>
    <w:p w:rsidR="00EE08FB" w:rsidRDefault="00EE08FB" w:rsidP="00EE08FB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量表出处</w:t>
      </w:r>
    </w:p>
    <w:p w:rsidR="00EE08FB" w:rsidRDefault="00EE08FB"/>
    <w:p w:rsidR="009D071C" w:rsidRDefault="009D071C" w:rsidP="009D071C">
      <w:pPr>
        <w:ind w:firstLineChars="200" w:firstLine="420"/>
      </w:pPr>
      <w:r w:rsidRPr="00375907">
        <w:rPr>
          <w:rFonts w:hint="eastAsia"/>
        </w:rPr>
        <w:t>肖丁丁</w:t>
      </w:r>
      <w:r>
        <w:rPr>
          <w:rFonts w:hint="eastAsia"/>
        </w:rPr>
        <w:t xml:space="preserve">, </w:t>
      </w:r>
      <w:r w:rsidRPr="00375907">
        <w:rPr>
          <w:rFonts w:hint="eastAsia"/>
        </w:rPr>
        <w:t>朱桂龙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 xml:space="preserve">(2017). </w:t>
      </w:r>
      <w:r>
        <w:rPr>
          <w:rFonts w:hint="eastAsia"/>
        </w:rPr>
        <w:t>跨界搜寻、双元能力结构与绩效的关系研究——基于创新能力结构视角</w:t>
      </w:r>
      <w:r>
        <w:rPr>
          <w:rFonts w:hint="eastAsia"/>
        </w:rPr>
        <w:t xml:space="preserve">. </w:t>
      </w:r>
      <w:r w:rsidRPr="008822B9">
        <w:rPr>
          <w:rFonts w:hint="eastAsia"/>
          <w:i/>
        </w:rPr>
        <w:t>经济管理</w:t>
      </w:r>
      <w:r>
        <w:rPr>
          <w:rFonts w:hint="eastAsia"/>
        </w:rPr>
        <w:t>, 39(</w:t>
      </w:r>
      <w:r>
        <w:t>3</w:t>
      </w:r>
      <w:r>
        <w:rPr>
          <w:rFonts w:hint="eastAsia"/>
        </w:rPr>
        <w:t>)</w:t>
      </w:r>
    </w:p>
    <w:p w:rsidR="00EB23B8" w:rsidRPr="00EB23B8" w:rsidRDefault="00EB23B8" w:rsidP="009D071C">
      <w:pPr>
        <w:spacing w:line="400" w:lineRule="atLeast"/>
        <w:ind w:firstLine="420"/>
      </w:pPr>
      <w:r>
        <w:rPr>
          <w:rFonts w:ascii="黑体" w:eastAsia="黑体" w:hAnsi="宋体" w:hint="eastAsia"/>
          <w:color w:val="FF0000"/>
          <w:sz w:val="24"/>
        </w:rPr>
        <w:t>OBHRM（</w:t>
      </w:r>
      <w:hyperlink r:id="rId7" w:history="1">
        <w:r w:rsidRPr="005B4E67">
          <w:rPr>
            <w:rStyle w:val="a8"/>
            <w:rFonts w:ascii="黑体" w:eastAsia="黑体" w:hAnsi="宋体" w:hint="eastAsia"/>
            <w:sz w:val="24"/>
          </w:rPr>
          <w:t>www.obhrm.net</w:t>
        </w:r>
      </w:hyperlink>
      <w:r>
        <w:rPr>
          <w:rFonts w:ascii="黑体" w:eastAsia="黑体" w:hAnsi="宋体" w:hint="eastAsia"/>
          <w:color w:val="FF0000"/>
          <w:sz w:val="24"/>
        </w:rPr>
        <w:t>）整理，</w:t>
      </w:r>
      <w:proofErr w:type="gramStart"/>
      <w:r>
        <w:rPr>
          <w:rFonts w:ascii="黑体" w:eastAsia="黑体" w:hAnsi="宋体" w:hint="eastAsia"/>
          <w:color w:val="FF0000"/>
          <w:sz w:val="24"/>
        </w:rPr>
        <w:t>供学者</w:t>
      </w:r>
      <w:proofErr w:type="gramEnd"/>
      <w:r>
        <w:rPr>
          <w:rFonts w:ascii="黑体" w:eastAsia="黑体" w:hAnsi="宋体" w:hint="eastAsia"/>
          <w:color w:val="FF0000"/>
          <w:sz w:val="24"/>
        </w:rPr>
        <w:t>在学术研究中使用，商业</w:t>
      </w:r>
      <w:proofErr w:type="gramStart"/>
      <w:r>
        <w:rPr>
          <w:rFonts w:ascii="黑体" w:eastAsia="黑体" w:hAnsi="宋体" w:hint="eastAsia"/>
          <w:color w:val="FF0000"/>
          <w:sz w:val="24"/>
        </w:rPr>
        <w:t>使用请</w:t>
      </w:r>
      <w:proofErr w:type="gramEnd"/>
      <w:r>
        <w:rPr>
          <w:rFonts w:ascii="黑体" w:eastAsia="黑体" w:hAnsi="宋体" w:hint="eastAsia"/>
          <w:color w:val="FF0000"/>
          <w:sz w:val="24"/>
        </w:rPr>
        <w:t>与原作者联系。为了尊重作者的劳动成果，请规范引用，谢谢！</w:t>
      </w:r>
    </w:p>
    <w:sectPr w:rsidR="00EB23B8" w:rsidRPr="00EB23B8" w:rsidSect="0011128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88A" w:rsidRDefault="00A2688A" w:rsidP="00EE08FB">
      <w:r>
        <w:separator/>
      </w:r>
    </w:p>
  </w:endnote>
  <w:endnote w:type="continuationSeparator" w:id="0">
    <w:p w:rsidR="00A2688A" w:rsidRDefault="00A2688A" w:rsidP="00EE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8FB" w:rsidRDefault="00EE08FB" w:rsidP="00EE08FB">
    <w:pPr>
      <w:pStyle w:val="a6"/>
      <w:jc w:val="center"/>
    </w:pPr>
    <w:r>
      <w:rPr>
        <w:rFonts w:hint="eastAsia"/>
      </w:rPr>
      <w:t>OBHRM</w:t>
    </w:r>
    <w:r>
      <w:rPr>
        <w:rFonts w:hint="eastAsia"/>
      </w:rPr>
      <w:t>百科（</w:t>
    </w:r>
    <w:hyperlink r:id="rId1" w:history="1">
      <w:r w:rsidRPr="005B4E67">
        <w:rPr>
          <w:rStyle w:val="a8"/>
          <w:rFonts w:hint="eastAsia"/>
        </w:rPr>
        <w:t>www.obhrm.net</w:t>
      </w:r>
    </w:hyperlink>
    <w:r>
      <w:rPr>
        <w:rFonts w:hint="eastAsia"/>
      </w:rPr>
      <w:t>）整理，</w:t>
    </w:r>
    <w:proofErr w:type="gramStart"/>
    <w:r>
      <w:rPr>
        <w:rFonts w:hint="eastAsia"/>
      </w:rPr>
      <w:t>供学者</w:t>
    </w:r>
    <w:proofErr w:type="gramEnd"/>
    <w:r>
      <w:rPr>
        <w:rFonts w:hint="eastAsia"/>
      </w:rPr>
      <w:t>在学术研究中使用，商业</w:t>
    </w:r>
    <w:proofErr w:type="gramStart"/>
    <w:r>
      <w:rPr>
        <w:rFonts w:hint="eastAsia"/>
      </w:rPr>
      <w:t>使用请</w:t>
    </w:r>
    <w:proofErr w:type="gramEnd"/>
    <w:r>
      <w:rPr>
        <w:rFonts w:hint="eastAsia"/>
      </w:rPr>
      <w:t>与原作者联系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88A" w:rsidRDefault="00A2688A" w:rsidP="00EE08FB">
      <w:r>
        <w:separator/>
      </w:r>
    </w:p>
  </w:footnote>
  <w:footnote w:type="continuationSeparator" w:id="0">
    <w:p w:rsidR="00A2688A" w:rsidRDefault="00A2688A" w:rsidP="00EE0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1A8A"/>
    <w:multiLevelType w:val="hybridMultilevel"/>
    <w:tmpl w:val="C9F417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E476CE"/>
    <w:multiLevelType w:val="hybridMultilevel"/>
    <w:tmpl w:val="F9EEDF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7D20"/>
    <w:rsid w:val="00000281"/>
    <w:rsid w:val="00040F1F"/>
    <w:rsid w:val="000436AE"/>
    <w:rsid w:val="00073AFD"/>
    <w:rsid w:val="0011128E"/>
    <w:rsid w:val="0013055B"/>
    <w:rsid w:val="0013332F"/>
    <w:rsid w:val="00241DA3"/>
    <w:rsid w:val="002E210F"/>
    <w:rsid w:val="002E58BD"/>
    <w:rsid w:val="003315D8"/>
    <w:rsid w:val="003A7986"/>
    <w:rsid w:val="003B1612"/>
    <w:rsid w:val="003F53E0"/>
    <w:rsid w:val="00401C3A"/>
    <w:rsid w:val="004421F0"/>
    <w:rsid w:val="00481CE4"/>
    <w:rsid w:val="004F3A60"/>
    <w:rsid w:val="00537D20"/>
    <w:rsid w:val="0055557A"/>
    <w:rsid w:val="0059259A"/>
    <w:rsid w:val="005C3880"/>
    <w:rsid w:val="00636031"/>
    <w:rsid w:val="00636C03"/>
    <w:rsid w:val="006613A7"/>
    <w:rsid w:val="006D187F"/>
    <w:rsid w:val="00706E89"/>
    <w:rsid w:val="007557B7"/>
    <w:rsid w:val="00760B4A"/>
    <w:rsid w:val="007837DB"/>
    <w:rsid w:val="007D76A4"/>
    <w:rsid w:val="007E1092"/>
    <w:rsid w:val="007F401C"/>
    <w:rsid w:val="0085006C"/>
    <w:rsid w:val="0085676A"/>
    <w:rsid w:val="00902DD0"/>
    <w:rsid w:val="009561CA"/>
    <w:rsid w:val="009D071C"/>
    <w:rsid w:val="00A2688A"/>
    <w:rsid w:val="00A5313B"/>
    <w:rsid w:val="00B02B4A"/>
    <w:rsid w:val="00B64B0F"/>
    <w:rsid w:val="00B75DAB"/>
    <w:rsid w:val="00B94D72"/>
    <w:rsid w:val="00B96725"/>
    <w:rsid w:val="00BF6F21"/>
    <w:rsid w:val="00C27514"/>
    <w:rsid w:val="00C427D7"/>
    <w:rsid w:val="00C45FC9"/>
    <w:rsid w:val="00C51A89"/>
    <w:rsid w:val="00C8341A"/>
    <w:rsid w:val="00C97689"/>
    <w:rsid w:val="00CF6CC7"/>
    <w:rsid w:val="00D14C74"/>
    <w:rsid w:val="00D2463B"/>
    <w:rsid w:val="00D333C4"/>
    <w:rsid w:val="00D3412C"/>
    <w:rsid w:val="00D5113A"/>
    <w:rsid w:val="00E22A28"/>
    <w:rsid w:val="00EB23B8"/>
    <w:rsid w:val="00EE08FB"/>
    <w:rsid w:val="00EE14B7"/>
    <w:rsid w:val="00F3126A"/>
    <w:rsid w:val="00FC0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A8CCA8-0C3F-4CA3-9CA2-42403866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2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D2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E0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E08FB"/>
    <w:rPr>
      <w:sz w:val="18"/>
      <w:szCs w:val="18"/>
    </w:rPr>
  </w:style>
  <w:style w:type="paragraph" w:styleId="a6">
    <w:name w:val="footer"/>
    <w:basedOn w:val="a"/>
    <w:link w:val="a7"/>
    <w:unhideWhenUsed/>
    <w:rsid w:val="00EE0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E08FB"/>
    <w:rPr>
      <w:sz w:val="18"/>
      <w:szCs w:val="18"/>
    </w:rPr>
  </w:style>
  <w:style w:type="character" w:customStyle="1" w:styleId="Char">
    <w:name w:val="页脚 Char"/>
    <w:rsid w:val="00EE08FB"/>
    <w:rPr>
      <w:kern w:val="2"/>
      <w:sz w:val="18"/>
      <w:szCs w:val="18"/>
    </w:rPr>
  </w:style>
  <w:style w:type="character" w:styleId="a8">
    <w:name w:val="Hyperlink"/>
    <w:rsid w:val="00EE08FB"/>
    <w:rPr>
      <w:color w:val="0000FF"/>
      <w:u w:val="single"/>
    </w:rPr>
  </w:style>
  <w:style w:type="paragraph" w:styleId="a9">
    <w:name w:val="Normal Indent"/>
    <w:basedOn w:val="a"/>
    <w:rsid w:val="009D071C"/>
    <w:pPr>
      <w:spacing w:line="300" w:lineRule="auto"/>
      <w:ind w:firstLine="420"/>
    </w:pPr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bhrm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hrm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赵晨</dc:creator>
  <cp:keywords/>
  <dc:description/>
  <cp:lastModifiedBy>赵晨</cp:lastModifiedBy>
  <cp:revision>4</cp:revision>
  <dcterms:created xsi:type="dcterms:W3CDTF">2017-05-12T07:23:00Z</dcterms:created>
  <dcterms:modified xsi:type="dcterms:W3CDTF">2017-05-12T07:26:00Z</dcterms:modified>
</cp:coreProperties>
</file>