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109C" w14:textId="2723F9BF" w:rsidR="002320C2" w:rsidRDefault="00CE60D5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契约治理导向</w:t>
      </w:r>
      <w:r w:rsidR="00827B51">
        <w:rPr>
          <w:rFonts w:ascii="黑体" w:eastAsia="黑体" w:hAnsi="黑体" w:hint="eastAsia"/>
          <w:sz w:val="24"/>
        </w:rPr>
        <w:t>量表</w:t>
      </w:r>
      <w:r w:rsidR="002320C2">
        <w:rPr>
          <w:rFonts w:ascii="黑体" w:eastAsia="黑体" w:hAnsi="黑体" w:hint="eastAsia"/>
          <w:sz w:val="24"/>
        </w:rPr>
        <w:t>（</w:t>
      </w:r>
      <w:r w:rsidR="00E660A7">
        <w:rPr>
          <w:rFonts w:ascii="黑体" w:eastAsia="黑体" w:hAnsi="黑体" w:hint="eastAsia"/>
          <w:sz w:val="24"/>
        </w:rPr>
        <w:t>郑传斌</w:t>
      </w:r>
      <w:r w:rsidR="00393969" w:rsidRPr="00393969">
        <w:rPr>
          <w:rFonts w:ascii="黑体" w:eastAsia="黑体" w:hAnsi="黑体" w:hint="eastAsia"/>
          <w:sz w:val="24"/>
        </w:rPr>
        <w:t>等</w:t>
      </w:r>
      <w:r w:rsidR="002320C2">
        <w:rPr>
          <w:rFonts w:ascii="黑体" w:eastAsia="黑体" w:hAnsi="黑体" w:hint="eastAsia"/>
          <w:sz w:val="24"/>
        </w:rPr>
        <w:t>，20</w:t>
      </w:r>
      <w:r w:rsidR="00706835">
        <w:rPr>
          <w:rFonts w:ascii="黑体" w:eastAsia="黑体" w:hAnsi="黑体" w:hint="eastAsia"/>
          <w:sz w:val="24"/>
        </w:rPr>
        <w:t>17</w:t>
      </w:r>
      <w:r w:rsidR="002320C2">
        <w:rPr>
          <w:rFonts w:ascii="黑体" w:eastAsia="黑体" w:hAnsi="黑体" w:hint="eastAsia"/>
          <w:sz w:val="24"/>
        </w:rPr>
        <w:t>）</w:t>
      </w:r>
    </w:p>
    <w:p w14:paraId="5C451DB1" w14:textId="6E60F2B2" w:rsidR="002320C2" w:rsidRDefault="002320C2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CE60D5">
        <w:rPr>
          <w:rFonts w:ascii="黑体" w:eastAsia="黑体" w:hAnsi="黑体"/>
          <w:sz w:val="24"/>
        </w:rPr>
        <w:t>C</w:t>
      </w:r>
      <w:r w:rsidR="00CE60D5">
        <w:rPr>
          <w:rFonts w:ascii="黑体" w:eastAsia="黑体" w:hAnsi="黑体" w:hint="eastAsia"/>
          <w:sz w:val="24"/>
        </w:rPr>
        <w:t>ontractual</w:t>
      </w:r>
      <w:r w:rsidR="00CE60D5">
        <w:rPr>
          <w:rFonts w:ascii="黑体" w:eastAsia="黑体" w:hAnsi="黑体"/>
          <w:sz w:val="24"/>
        </w:rPr>
        <w:t xml:space="preserve"> Government O</w:t>
      </w:r>
      <w:r w:rsidR="00CE60D5">
        <w:rPr>
          <w:rFonts w:ascii="黑体" w:eastAsia="黑体" w:hAnsi="黑体" w:hint="eastAsia"/>
          <w:sz w:val="24"/>
        </w:rPr>
        <w:t>rientation</w:t>
      </w:r>
      <w:r>
        <w:rPr>
          <w:rFonts w:ascii="黑体" w:eastAsia="黑体" w:hAnsi="黑体" w:hint="eastAsia"/>
          <w:sz w:val="24"/>
        </w:rPr>
        <w:t xml:space="preserve">, </w:t>
      </w:r>
      <w:r w:rsidR="00CE60D5">
        <w:rPr>
          <w:rFonts w:ascii="黑体" w:eastAsia="黑体" w:hAnsi="黑体"/>
          <w:sz w:val="24"/>
        </w:rPr>
        <w:t>CGO</w:t>
      </w:r>
      <w:r>
        <w:rPr>
          <w:rFonts w:ascii="黑体" w:eastAsia="黑体" w:hAnsi="黑体" w:hint="eastAsia"/>
          <w:sz w:val="24"/>
        </w:rPr>
        <w:t>）</w:t>
      </w:r>
    </w:p>
    <w:p w14:paraId="6290F43A" w14:textId="77777777" w:rsidR="002320C2" w:rsidRDefault="002320C2">
      <w:pPr>
        <w:spacing w:line="312" w:lineRule="auto"/>
        <w:rPr>
          <w:rFonts w:ascii="宋体" w:hAnsi="宋体"/>
          <w:szCs w:val="21"/>
        </w:rPr>
      </w:pPr>
    </w:p>
    <w:p w14:paraId="6DF6489B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14:paraId="7A877975" w14:textId="11A5CB69" w:rsidR="00765298" w:rsidRPr="00CE60D5" w:rsidRDefault="00CE60D5" w:rsidP="00765298">
      <w:pPr>
        <w:spacing w:line="312" w:lineRule="auto"/>
        <w:ind w:firstLine="420"/>
        <w:rPr>
          <w:rStyle w:val="fontstyle11"/>
          <w:rFonts w:ascii="Times New Roman" w:hAnsi="Times New Roman"/>
          <w:sz w:val="21"/>
          <w:szCs w:val="21"/>
        </w:rPr>
      </w:pPr>
      <w:r w:rsidRPr="00CE60D5">
        <w:rPr>
          <w:rStyle w:val="fontstyle01"/>
          <w:rFonts w:ascii="Times New Roman" w:hAnsi="Times New Roman"/>
          <w:sz w:val="21"/>
          <w:szCs w:val="21"/>
        </w:rPr>
        <w:t>项目的本质是临时性契约组织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需要缔结契约来对其进行有效治理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是按照一定的制度结构来调整交易以达到节约成本的机制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有研究表明将监督引入项目契约能够降低委托代理成本</w:t>
      </w:r>
      <w:r w:rsidRPr="00CE60D5">
        <w:rPr>
          <w:rStyle w:val="fontstyle11"/>
          <w:rFonts w:ascii="Times New Roman" w:hAnsi="Times New Roman"/>
          <w:sz w:val="21"/>
          <w:szCs w:val="21"/>
        </w:rPr>
        <w:t>、</w:t>
      </w:r>
      <w:r w:rsidRPr="00CE60D5">
        <w:rPr>
          <w:rStyle w:val="fontstyle01"/>
          <w:rFonts w:ascii="Times New Roman" w:hAnsi="Times New Roman"/>
          <w:sz w:val="21"/>
          <w:szCs w:val="21"/>
        </w:rPr>
        <w:t>道德风险以及提高契约弹性的重要作用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  <w:r w:rsidRPr="00CE60D5">
        <w:rPr>
          <w:rStyle w:val="fontstyle01"/>
          <w:rFonts w:ascii="Times New Roman" w:hAnsi="Times New Roman"/>
          <w:sz w:val="21"/>
          <w:szCs w:val="21"/>
        </w:rPr>
        <w:t>根据过程和结果的可观察程度不同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11"/>
          <w:rFonts w:ascii="Times New Roman" w:hAnsi="Times New Roman" w:hint="eastAsia"/>
          <w:sz w:val="21"/>
          <w:szCs w:val="21"/>
        </w:rPr>
        <w:t>F</w:t>
      </w:r>
      <w:r w:rsidRPr="00CE60D5">
        <w:rPr>
          <w:rStyle w:val="fontstyle11"/>
          <w:rFonts w:ascii="Times New Roman" w:hAnsi="Times New Roman"/>
          <w:sz w:val="21"/>
          <w:szCs w:val="21"/>
        </w:rPr>
        <w:t>arrell</w:t>
      </w:r>
      <w:r w:rsidRPr="00CE60D5">
        <w:rPr>
          <w:rStyle w:val="fontstyle11"/>
          <w:rFonts w:ascii="Times New Roman" w:hAnsi="Times New Roman"/>
          <w:sz w:val="21"/>
          <w:szCs w:val="21"/>
        </w:rPr>
        <w:t xml:space="preserve"> </w:t>
      </w:r>
      <w:r w:rsidRPr="00CE60D5">
        <w:rPr>
          <w:rStyle w:val="fontstyle01"/>
          <w:rFonts w:ascii="Times New Roman" w:hAnsi="Times New Roman"/>
          <w:sz w:val="21"/>
          <w:szCs w:val="21"/>
        </w:rPr>
        <w:t>和梁永宽把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划分为行为导向的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和结果导向的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  <w:r w:rsidRPr="00CE60D5">
        <w:rPr>
          <w:rStyle w:val="fontstyle01"/>
          <w:rFonts w:ascii="Times New Roman" w:hAnsi="Times New Roman"/>
          <w:sz w:val="21"/>
          <w:szCs w:val="21"/>
        </w:rPr>
        <w:t>其中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行为导向的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适用于委托人与代理人的目标一致程度较高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且委托人能够对代理人实施有效的监管的情况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  <w:r w:rsidRPr="00CE60D5">
        <w:rPr>
          <w:rStyle w:val="fontstyle11"/>
          <w:rFonts w:ascii="Times New Roman" w:hAnsi="Times New Roman"/>
          <w:sz w:val="21"/>
          <w:szCs w:val="21"/>
        </w:rPr>
        <w:t xml:space="preserve"> </w:t>
      </w:r>
      <w:r w:rsidRPr="00CE60D5">
        <w:rPr>
          <w:rStyle w:val="fontstyle01"/>
          <w:rFonts w:ascii="Times New Roman" w:hAnsi="Times New Roman"/>
          <w:sz w:val="21"/>
          <w:szCs w:val="21"/>
        </w:rPr>
        <w:t>此时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代理人为了使自身利益</w:t>
      </w:r>
      <w:proofErr w:type="gramStart"/>
      <w:r w:rsidRPr="00CE60D5">
        <w:rPr>
          <w:rStyle w:val="fontstyle01"/>
          <w:rFonts w:ascii="Times New Roman" w:hAnsi="Times New Roman"/>
          <w:sz w:val="21"/>
          <w:szCs w:val="21"/>
        </w:rPr>
        <w:t>最大化会</w:t>
      </w:r>
      <w:proofErr w:type="gramEnd"/>
      <w:r w:rsidRPr="00CE60D5">
        <w:rPr>
          <w:rStyle w:val="fontstyle01"/>
          <w:rFonts w:ascii="Times New Roman" w:hAnsi="Times New Roman"/>
          <w:sz w:val="21"/>
          <w:szCs w:val="21"/>
        </w:rPr>
        <w:t>尽可能的遵守契约的规定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避免因违反契约而受到处罚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在此过程中行为导向的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充分发挥了激励作用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  <w:r w:rsidRPr="00CE60D5">
        <w:rPr>
          <w:rStyle w:val="fontstyle11"/>
          <w:rFonts w:ascii="Times New Roman" w:hAnsi="Times New Roman"/>
          <w:sz w:val="21"/>
          <w:szCs w:val="21"/>
        </w:rPr>
        <w:t xml:space="preserve"> </w:t>
      </w:r>
      <w:r w:rsidRPr="00CE60D5">
        <w:rPr>
          <w:rStyle w:val="fontstyle01"/>
          <w:rFonts w:ascii="Times New Roman" w:hAnsi="Times New Roman"/>
          <w:sz w:val="21"/>
          <w:szCs w:val="21"/>
        </w:rPr>
        <w:t>结果导向的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则适用于代理人与委托人信息不对称</w:t>
      </w:r>
      <w:r w:rsidRPr="00CE60D5">
        <w:rPr>
          <w:rStyle w:val="fontstyle11"/>
          <w:rFonts w:ascii="Times New Roman" w:hAnsi="Times New Roman"/>
          <w:sz w:val="21"/>
          <w:szCs w:val="21"/>
        </w:rPr>
        <w:t>、</w:t>
      </w:r>
      <w:r w:rsidRPr="00CE60D5">
        <w:rPr>
          <w:rStyle w:val="fontstyle01"/>
          <w:rFonts w:ascii="Times New Roman" w:hAnsi="Times New Roman"/>
          <w:sz w:val="21"/>
          <w:szCs w:val="21"/>
        </w:rPr>
        <w:t>结果</w:t>
      </w:r>
      <w:proofErr w:type="gramStart"/>
      <w:r w:rsidRPr="00CE60D5">
        <w:rPr>
          <w:rStyle w:val="fontstyle01"/>
          <w:rFonts w:ascii="Times New Roman" w:hAnsi="Times New Roman"/>
          <w:sz w:val="21"/>
          <w:szCs w:val="21"/>
        </w:rPr>
        <w:t>比过程</w:t>
      </w:r>
      <w:proofErr w:type="gramEnd"/>
      <w:r w:rsidRPr="00CE60D5">
        <w:rPr>
          <w:rStyle w:val="fontstyle01"/>
          <w:rFonts w:ascii="Times New Roman" w:hAnsi="Times New Roman"/>
          <w:sz w:val="21"/>
          <w:szCs w:val="21"/>
        </w:rPr>
        <w:t>更易于观察</w:t>
      </w:r>
      <w:r w:rsidRPr="00CE60D5">
        <w:rPr>
          <w:rStyle w:val="fontstyle11"/>
          <w:rFonts w:ascii="Times New Roman" w:hAnsi="Times New Roman"/>
          <w:sz w:val="21"/>
          <w:szCs w:val="21"/>
        </w:rPr>
        <w:t>、</w:t>
      </w:r>
      <w:r w:rsidRPr="00CE60D5">
        <w:rPr>
          <w:rStyle w:val="fontstyle01"/>
          <w:rFonts w:ascii="Times New Roman" w:hAnsi="Times New Roman"/>
          <w:sz w:val="21"/>
          <w:szCs w:val="21"/>
        </w:rPr>
        <w:t>监管成本较高等情况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委托人以项目结果为基础向代理人给予报酬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代理人为了使自身利益</w:t>
      </w:r>
      <w:proofErr w:type="gramStart"/>
      <w:r w:rsidRPr="00CE60D5">
        <w:rPr>
          <w:rStyle w:val="fontstyle01"/>
          <w:rFonts w:ascii="Times New Roman" w:hAnsi="Times New Roman"/>
          <w:sz w:val="21"/>
          <w:szCs w:val="21"/>
        </w:rPr>
        <w:t>最大化会</w:t>
      </w:r>
      <w:proofErr w:type="gramEnd"/>
      <w:r w:rsidRPr="00CE60D5">
        <w:rPr>
          <w:rStyle w:val="fontstyle01"/>
          <w:rFonts w:ascii="Times New Roman" w:hAnsi="Times New Roman"/>
          <w:sz w:val="21"/>
          <w:szCs w:val="21"/>
        </w:rPr>
        <w:t>增加对委托人的投入和努力程度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这样有利于解决代理人与委托人信息不对称的难题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  <w:r w:rsidRPr="00CE60D5">
        <w:rPr>
          <w:rStyle w:val="fontstyle11"/>
          <w:rFonts w:ascii="Times New Roman" w:hAnsi="Times New Roman"/>
          <w:sz w:val="21"/>
          <w:szCs w:val="21"/>
        </w:rPr>
        <w:t xml:space="preserve"> </w:t>
      </w:r>
      <w:r w:rsidRPr="00CE60D5">
        <w:rPr>
          <w:rStyle w:val="fontstyle01"/>
          <w:rFonts w:ascii="Times New Roman" w:hAnsi="Times New Roman"/>
          <w:sz w:val="21"/>
          <w:szCs w:val="21"/>
        </w:rPr>
        <w:t>行为导向的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和结果导向的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能够有效处理不同的情境下的委托代理问题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因此</w:t>
      </w:r>
      <w:r w:rsidRPr="00CE60D5">
        <w:rPr>
          <w:rStyle w:val="fontstyle11"/>
          <w:rFonts w:ascii="Times New Roman" w:hAnsi="Times New Roman"/>
          <w:sz w:val="21"/>
          <w:szCs w:val="21"/>
        </w:rPr>
        <w:t>，</w:t>
      </w:r>
      <w:r w:rsidRPr="00CE60D5">
        <w:rPr>
          <w:rStyle w:val="fontstyle01"/>
          <w:rFonts w:ascii="Times New Roman" w:hAnsi="Times New Roman"/>
          <w:sz w:val="21"/>
          <w:szCs w:val="21"/>
        </w:rPr>
        <w:t>本研究将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划分为行为导向的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01"/>
          <w:rFonts w:ascii="Times New Roman" w:hAnsi="Times New Roman"/>
          <w:sz w:val="21"/>
          <w:szCs w:val="21"/>
        </w:rPr>
        <w:t>和结果导向的</w:t>
      </w:r>
      <w:r w:rsidRPr="00CE60D5">
        <w:rPr>
          <w:rStyle w:val="fontstyle11"/>
          <w:rFonts w:ascii="Times New Roman" w:hAnsi="Times New Roman"/>
          <w:sz w:val="21"/>
          <w:szCs w:val="21"/>
        </w:rPr>
        <w:t>CG</w:t>
      </w:r>
      <w:r w:rsidRPr="00CE60D5">
        <w:rPr>
          <w:rStyle w:val="fontstyle11"/>
          <w:rFonts w:ascii="Times New Roman" w:hAnsi="Times New Roman"/>
          <w:sz w:val="21"/>
          <w:szCs w:val="21"/>
        </w:rPr>
        <w:t>。</w:t>
      </w:r>
    </w:p>
    <w:p w14:paraId="00667F87" w14:textId="77777777" w:rsidR="00CE60D5" w:rsidRPr="00CE60D5" w:rsidRDefault="00CE60D5" w:rsidP="00765298">
      <w:pPr>
        <w:spacing w:line="312" w:lineRule="auto"/>
        <w:ind w:firstLine="420"/>
        <w:rPr>
          <w:rFonts w:hint="eastAsia"/>
          <w:szCs w:val="21"/>
        </w:rPr>
      </w:pPr>
    </w:p>
    <w:p w14:paraId="51EF8392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14:paraId="6C975360" w14:textId="308AE5A2" w:rsidR="002320C2" w:rsidRPr="00E30A71" w:rsidRDefault="00A56A28" w:rsidP="00E30A71">
      <w:pPr>
        <w:spacing w:line="312" w:lineRule="auto"/>
        <w:ind w:firstLine="420"/>
        <w:rPr>
          <w:szCs w:val="21"/>
        </w:rPr>
      </w:pPr>
      <w:r>
        <w:rPr>
          <w:rFonts w:ascii="黑体" w:eastAsia="黑体" w:hAnsi="黑体" w:hint="eastAsia"/>
          <w:sz w:val="24"/>
        </w:rPr>
        <w:t>郑传斌</w:t>
      </w:r>
      <w:r w:rsidRPr="00393969">
        <w:rPr>
          <w:rFonts w:ascii="黑体" w:eastAsia="黑体" w:hAnsi="黑体" w:hint="eastAsia"/>
          <w:sz w:val="24"/>
        </w:rPr>
        <w:t>等</w:t>
      </w:r>
      <w:r w:rsidR="002320C2" w:rsidRPr="00E30A71">
        <w:rPr>
          <w:szCs w:val="21"/>
        </w:rPr>
        <w:t>(20</w:t>
      </w:r>
      <w:r w:rsidR="00ED48EC" w:rsidRPr="00E30A71">
        <w:rPr>
          <w:szCs w:val="21"/>
        </w:rPr>
        <w:t>17</w:t>
      </w:r>
      <w:r w:rsidR="002320C2" w:rsidRPr="00E30A71">
        <w:rPr>
          <w:szCs w:val="21"/>
        </w:rPr>
        <w:t>)</w:t>
      </w:r>
      <w:r w:rsidR="002320C2" w:rsidRPr="00E30A71">
        <w:rPr>
          <w:szCs w:val="21"/>
        </w:rPr>
        <w:t>对</w:t>
      </w:r>
      <w:r>
        <w:rPr>
          <w:rFonts w:hint="eastAsia"/>
          <w:szCs w:val="21"/>
        </w:rPr>
        <w:t>221</w:t>
      </w:r>
      <w:r w:rsidR="00ED48EC" w:rsidRPr="00E30A71">
        <w:rPr>
          <w:szCs w:val="21"/>
        </w:rPr>
        <w:t>个样本企业</w:t>
      </w:r>
      <w:r w:rsidR="002320C2" w:rsidRPr="00E30A71">
        <w:rPr>
          <w:szCs w:val="21"/>
        </w:rPr>
        <w:t>进行了问卷调查。结果显示，</w:t>
      </w:r>
      <w:r w:rsidR="00ED48EC" w:rsidRPr="00E30A71">
        <w:rPr>
          <w:szCs w:val="21"/>
        </w:rPr>
        <w:t>各维度</w:t>
      </w:r>
      <w:r w:rsidR="002320C2" w:rsidRPr="00E30A71">
        <w:rPr>
          <w:szCs w:val="21"/>
        </w:rPr>
        <w:t>的内部一致性系数</w:t>
      </w:r>
      <w:r w:rsidR="00ED48EC" w:rsidRPr="00E30A71">
        <w:rPr>
          <w:szCs w:val="21"/>
        </w:rPr>
        <w:t>均高于</w:t>
      </w:r>
      <w:r w:rsidR="00ED48EC" w:rsidRPr="00E30A71">
        <w:rPr>
          <w:szCs w:val="21"/>
        </w:rPr>
        <w:t>0.</w:t>
      </w:r>
      <w:r>
        <w:rPr>
          <w:rFonts w:hint="eastAsia"/>
          <w:szCs w:val="21"/>
        </w:rPr>
        <w:t>9</w:t>
      </w:r>
      <w:r w:rsidR="00ED48EC" w:rsidRPr="00E30A71">
        <w:rPr>
          <w:szCs w:val="21"/>
        </w:rPr>
        <w:t>，总量表达</w:t>
      </w:r>
      <w:r w:rsidR="00ED48EC" w:rsidRPr="00E30A71">
        <w:rPr>
          <w:szCs w:val="21"/>
        </w:rPr>
        <w:t>0.</w:t>
      </w:r>
      <w:r>
        <w:rPr>
          <w:rFonts w:hint="eastAsia"/>
          <w:szCs w:val="21"/>
        </w:rPr>
        <w:t>9</w:t>
      </w:r>
      <w:r w:rsidR="00863DB5">
        <w:rPr>
          <w:rFonts w:hint="eastAsia"/>
          <w:szCs w:val="21"/>
        </w:rPr>
        <w:t>16</w:t>
      </w:r>
      <w:r w:rsidR="00ED48EC" w:rsidRPr="00E30A71">
        <w:rPr>
          <w:szCs w:val="21"/>
        </w:rPr>
        <w:t>，量表信度良好</w:t>
      </w:r>
      <w:r w:rsidR="002320C2" w:rsidRPr="00E30A71">
        <w:rPr>
          <w:szCs w:val="21"/>
        </w:rPr>
        <w:t>。</w:t>
      </w:r>
      <w:r w:rsidR="00E30A71" w:rsidRPr="00E30A71">
        <w:rPr>
          <w:szCs w:val="21"/>
        </w:rPr>
        <w:t>参考效度检验标准，量表的</w:t>
      </w:r>
      <w:r w:rsidR="00E30A71">
        <w:rPr>
          <w:rFonts w:hint="eastAsia"/>
          <w:szCs w:val="21"/>
        </w:rPr>
        <w:t>K</w:t>
      </w:r>
      <w:r w:rsidR="00E30A71">
        <w:rPr>
          <w:szCs w:val="21"/>
        </w:rPr>
        <w:t>MO</w:t>
      </w:r>
      <w:r w:rsidR="00E30A71" w:rsidRPr="00E30A71">
        <w:rPr>
          <w:szCs w:val="21"/>
        </w:rPr>
        <w:t>值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0.89</w:t>
      </w:r>
      <w:r w:rsidR="00863DB5">
        <w:rPr>
          <w:rFonts w:hint="eastAsia"/>
          <w:szCs w:val="21"/>
        </w:rPr>
        <w:t>8</w:t>
      </w:r>
      <w:r w:rsidR="00E30A71" w:rsidRPr="00E30A71">
        <w:rPr>
          <w:szCs w:val="21"/>
        </w:rPr>
        <w:t>，在标准</w:t>
      </w:r>
      <w:r w:rsidR="00E30A71">
        <w:rPr>
          <w:rFonts w:hint="eastAsia"/>
          <w:szCs w:val="21"/>
        </w:rPr>
        <w:t>0</w:t>
      </w:r>
      <w:r w:rsidR="00E30A71">
        <w:rPr>
          <w:szCs w:val="21"/>
        </w:rPr>
        <w:t>.5</w:t>
      </w:r>
      <w:r w:rsidR="00E30A71" w:rsidRPr="00E30A71">
        <w:rPr>
          <w:szCs w:val="21"/>
        </w:rPr>
        <w:t>之上；</w:t>
      </w:r>
      <w:r w:rsidR="00E9049B">
        <w:rPr>
          <w:rFonts w:hint="eastAsia"/>
          <w:szCs w:val="21"/>
        </w:rPr>
        <w:t>并通过</w:t>
      </w:r>
      <w:r w:rsidR="00E30A71">
        <w:rPr>
          <w:szCs w:val="21"/>
        </w:rPr>
        <w:t>Bartlett</w:t>
      </w:r>
      <w:r w:rsidR="00E30A71" w:rsidRPr="00E30A71">
        <w:rPr>
          <w:szCs w:val="21"/>
        </w:rPr>
        <w:t>球体检验显著性</w:t>
      </w:r>
      <w:r w:rsidR="00E9049B">
        <w:rPr>
          <w:rFonts w:hint="eastAsia"/>
          <w:szCs w:val="21"/>
        </w:rPr>
        <w:t>检验</w:t>
      </w:r>
      <w:r w:rsidR="00E30A71" w:rsidRPr="00E30A71">
        <w:rPr>
          <w:szCs w:val="21"/>
        </w:rPr>
        <w:t>。</w:t>
      </w:r>
    </w:p>
    <w:p w14:paraId="046673D4" w14:textId="77777777" w:rsidR="002320C2" w:rsidRDefault="002320C2">
      <w:pPr>
        <w:spacing w:line="312" w:lineRule="auto"/>
        <w:ind w:firstLine="420"/>
        <w:rPr>
          <w:rFonts w:ascii="宋体" w:hAnsi="宋体"/>
          <w:szCs w:val="21"/>
        </w:rPr>
      </w:pPr>
    </w:p>
    <w:p w14:paraId="6976397F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14:paraId="4F8D558D" w14:textId="77777777" w:rsidR="002320C2" w:rsidRDefault="002320C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440"/>
        <w:gridCol w:w="6634"/>
      </w:tblGrid>
      <w:tr w:rsidR="00CE60D5" w:rsidRPr="00CD2E7E" w14:paraId="626A3D91" w14:textId="77777777" w:rsidTr="007A7ADE">
        <w:trPr>
          <w:jc w:val="center"/>
        </w:trPr>
        <w:tc>
          <w:tcPr>
            <w:tcW w:w="850" w:type="pct"/>
            <w:vMerge w:val="restart"/>
            <w:shd w:val="clear" w:color="auto" w:fill="FFFFFF" w:themeFill="background1"/>
          </w:tcPr>
          <w:p w14:paraId="5461A189" w14:textId="2F43E6FF" w:rsidR="00CE60D5" w:rsidRDefault="002D563C" w:rsidP="00866E9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行为导向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26AB143E" w14:textId="0A0DF44B" w:rsidR="00CE60D5" w:rsidRPr="00CD2E7E" w:rsidRDefault="00CE60D5" w:rsidP="00866E9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vAlign w:val="center"/>
          </w:tcPr>
          <w:p w14:paraId="4A6AC607" w14:textId="60FF07BA" w:rsidR="00CE60D5" w:rsidRPr="00CD2E7E" w:rsidRDefault="00CE60D5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各方目标一致程度较高</w:t>
            </w:r>
          </w:p>
        </w:tc>
      </w:tr>
      <w:tr w:rsidR="00CE60D5" w:rsidRPr="00CD2E7E" w14:paraId="794254AF" w14:textId="77777777" w:rsidTr="007A7ADE">
        <w:trPr>
          <w:jc w:val="center"/>
        </w:trPr>
        <w:tc>
          <w:tcPr>
            <w:tcW w:w="850" w:type="pct"/>
            <w:vMerge/>
            <w:shd w:val="clear" w:color="auto" w:fill="FFFFFF" w:themeFill="background1"/>
          </w:tcPr>
          <w:p w14:paraId="7FE504D4" w14:textId="77777777" w:rsidR="00CE60D5" w:rsidRDefault="00CE60D5" w:rsidP="00866E9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E8742" w14:textId="2CBA3DE3" w:rsidR="00CE60D5" w:rsidRPr="00CD2E7E" w:rsidRDefault="00CE60D5" w:rsidP="00866E9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77BC10" w14:textId="27BEBBF1" w:rsidR="00CE60D5" w:rsidRPr="00CD2E7E" w:rsidRDefault="00CE60D5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能够对项目全过程实施有效的监管</w:t>
            </w:r>
          </w:p>
        </w:tc>
      </w:tr>
      <w:tr w:rsidR="00CE60D5" w:rsidRPr="00CD2E7E" w14:paraId="753798F0" w14:textId="77777777" w:rsidTr="007A7ADE">
        <w:trPr>
          <w:jc w:val="center"/>
        </w:trPr>
        <w:tc>
          <w:tcPr>
            <w:tcW w:w="850" w:type="pct"/>
            <w:vMerge/>
            <w:shd w:val="clear" w:color="auto" w:fill="FFFFFF" w:themeFill="background1"/>
          </w:tcPr>
          <w:p w14:paraId="248A4E18" w14:textId="77777777" w:rsidR="00CE60D5" w:rsidRDefault="00CE60D5" w:rsidP="00866E9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15082289" w14:textId="03D1D94F" w:rsidR="00CE60D5" w:rsidRPr="00CD2E7E" w:rsidRDefault="00CE60D5" w:rsidP="00866E9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vAlign w:val="center"/>
          </w:tcPr>
          <w:p w14:paraId="662410D6" w14:textId="5CC4DC97" w:rsidR="00CE60D5" w:rsidRPr="00CD2E7E" w:rsidRDefault="00CE60D5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为了使自身利益</w:t>
            </w:r>
            <w:proofErr w:type="gramStart"/>
            <w:r>
              <w:rPr>
                <w:rFonts w:ascii="宋体" w:hAnsi="宋体" w:cs="Calibri" w:hint="eastAsia"/>
                <w:szCs w:val="21"/>
              </w:rPr>
              <w:t>最大化会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尽可能的遵守契约的规定</w:t>
            </w:r>
          </w:p>
        </w:tc>
      </w:tr>
      <w:tr w:rsidR="00CE60D5" w:rsidRPr="00CD2E7E" w14:paraId="6AAACF2D" w14:textId="77777777" w:rsidTr="007A7ADE">
        <w:trPr>
          <w:jc w:val="center"/>
        </w:trPr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CBFA5F" w14:textId="77777777" w:rsidR="00CE60D5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18510820" w14:textId="136A60DE" w:rsidR="00CE60D5" w:rsidRDefault="00CE60D5" w:rsidP="00CE60D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vAlign w:val="center"/>
          </w:tcPr>
          <w:p w14:paraId="77B15F88" w14:textId="5C811053" w:rsidR="00CE60D5" w:rsidRDefault="00CE60D5" w:rsidP="00CE60D5">
            <w:pPr>
              <w:spacing w:line="312" w:lineRule="auto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会尽量避免因违反契约而受到处罚</w:t>
            </w:r>
          </w:p>
        </w:tc>
      </w:tr>
      <w:tr w:rsidR="00CE60D5" w:rsidRPr="00CD2E7E" w14:paraId="119B33C8" w14:textId="77777777" w:rsidTr="007A7ADE">
        <w:trPr>
          <w:jc w:val="center"/>
        </w:trPr>
        <w:tc>
          <w:tcPr>
            <w:tcW w:w="850" w:type="pct"/>
            <w:vMerge w:val="restart"/>
            <w:shd w:val="clear" w:color="auto" w:fill="FFFFFF" w:themeFill="background1"/>
          </w:tcPr>
          <w:p w14:paraId="6E774D4D" w14:textId="6D8C9484" w:rsidR="00CE60D5" w:rsidRDefault="002D563C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结果导向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E1681D" w14:textId="7312D7AC" w:rsidR="00CE60D5" w:rsidRPr="00CD2E7E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5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C45A75" w14:textId="456A0287" w:rsidR="00CE60D5" w:rsidRPr="00CD2E7E" w:rsidRDefault="00036CBC" w:rsidP="00CE60D5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信息不对成情况严重</w:t>
            </w:r>
          </w:p>
        </w:tc>
      </w:tr>
      <w:tr w:rsidR="00CE60D5" w:rsidRPr="00CD2E7E" w14:paraId="4F01A767" w14:textId="77777777" w:rsidTr="007A7ADE">
        <w:trPr>
          <w:jc w:val="center"/>
        </w:trPr>
        <w:tc>
          <w:tcPr>
            <w:tcW w:w="850" w:type="pct"/>
            <w:vMerge/>
            <w:shd w:val="clear" w:color="auto" w:fill="FFFFFF" w:themeFill="background1"/>
          </w:tcPr>
          <w:p w14:paraId="5CD6A179" w14:textId="77777777" w:rsidR="00CE60D5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281EC48" w14:textId="34E8D613" w:rsidR="00CE60D5" w:rsidRPr="00CD2E7E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6</w:t>
            </w:r>
          </w:p>
        </w:tc>
        <w:tc>
          <w:tcPr>
            <w:tcW w:w="3892" w:type="pct"/>
            <w:shd w:val="clear" w:color="auto" w:fill="FFFFFF"/>
            <w:vAlign w:val="center"/>
          </w:tcPr>
          <w:p w14:paraId="65709386" w14:textId="525E5005" w:rsidR="00CE60D5" w:rsidRPr="00CD2E7E" w:rsidRDefault="00036CBC" w:rsidP="00CE60D5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项目结果的观</w:t>
            </w:r>
            <w:bookmarkStart w:id="0" w:name="_GoBack"/>
            <w:bookmarkEnd w:id="0"/>
            <w:r>
              <w:rPr>
                <w:rFonts w:ascii="宋体" w:hAnsi="宋体" w:cs="Calibri" w:hint="eastAsia"/>
                <w:szCs w:val="21"/>
              </w:rPr>
              <w:t>察</w:t>
            </w:r>
            <w:proofErr w:type="gramStart"/>
            <w:r>
              <w:rPr>
                <w:rFonts w:ascii="宋体" w:hAnsi="宋体" w:cs="Calibri" w:hint="eastAsia"/>
                <w:szCs w:val="21"/>
              </w:rPr>
              <w:t>比过程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的观察更容易</w:t>
            </w:r>
          </w:p>
        </w:tc>
      </w:tr>
      <w:tr w:rsidR="00CE60D5" w:rsidRPr="00CD2E7E" w14:paraId="245EAD1F" w14:textId="77777777" w:rsidTr="007A7ADE">
        <w:trPr>
          <w:jc w:val="center"/>
        </w:trPr>
        <w:tc>
          <w:tcPr>
            <w:tcW w:w="850" w:type="pct"/>
            <w:vMerge/>
            <w:shd w:val="clear" w:color="auto" w:fill="FFFFFF" w:themeFill="background1"/>
          </w:tcPr>
          <w:p w14:paraId="115EA9CD" w14:textId="77777777" w:rsidR="00CE60D5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10010" w14:textId="636962A7" w:rsidR="00CE60D5" w:rsidRPr="00CD2E7E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7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B74D8A" w14:textId="3CF7E76B" w:rsidR="00CE60D5" w:rsidRPr="00CD2E7E" w:rsidRDefault="00036CBC" w:rsidP="00CE60D5">
            <w:pPr>
              <w:spacing w:line="312" w:lineRule="auto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项目实施过程的监管成本较高</w:t>
            </w:r>
          </w:p>
        </w:tc>
      </w:tr>
      <w:tr w:rsidR="00CE60D5" w:rsidRPr="00CD2E7E" w14:paraId="1C5C34FA" w14:textId="77777777" w:rsidTr="007A7ADE">
        <w:trPr>
          <w:trHeight w:val="75"/>
          <w:jc w:val="center"/>
        </w:trPr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DDDB1C" w14:textId="77777777" w:rsidR="00CE60D5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BA1F36" w14:textId="5CFA9302" w:rsidR="00CE60D5" w:rsidRPr="00CD2E7E" w:rsidRDefault="00CE60D5" w:rsidP="00CE60D5">
            <w:pPr>
              <w:spacing w:line="312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8</w:t>
            </w:r>
          </w:p>
        </w:tc>
        <w:tc>
          <w:tcPr>
            <w:tcW w:w="38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758B2" w14:textId="7DFD8D16" w:rsidR="00CE60D5" w:rsidRPr="00CD2E7E" w:rsidRDefault="00036CBC" w:rsidP="00CE60D5">
            <w:pPr>
              <w:spacing w:line="312" w:lineRule="auto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倾向于以项目结果为基础给予奖惩</w:t>
            </w:r>
          </w:p>
        </w:tc>
      </w:tr>
    </w:tbl>
    <w:p w14:paraId="25906F47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</w:p>
    <w:p w14:paraId="3109BE92" w14:textId="77777777" w:rsidR="002320C2" w:rsidRDefault="002320C2" w:rsidP="00ED48EC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14:paraId="5DE0B9AF" w14:textId="77777777" w:rsidR="00ED48EC" w:rsidRPr="00ED48EC" w:rsidRDefault="00ED48EC" w:rsidP="00ED48EC">
      <w:pPr>
        <w:spacing w:line="312" w:lineRule="auto"/>
        <w:ind w:firstLine="420"/>
        <w:rPr>
          <w:rFonts w:ascii="宋体" w:hAnsi="宋体"/>
          <w:szCs w:val="21"/>
        </w:rPr>
      </w:pPr>
      <w:r w:rsidRPr="00ED48EC">
        <w:rPr>
          <w:rFonts w:ascii="宋体" w:hAnsi="宋体" w:hint="eastAsia"/>
          <w:szCs w:val="21"/>
        </w:rPr>
        <w:t>各维度可计算平均分，或采用结构方程模型测度。</w:t>
      </w:r>
    </w:p>
    <w:p w14:paraId="114055D4" w14:textId="77777777" w:rsidR="002320C2" w:rsidRDefault="002320C2">
      <w:pPr>
        <w:spacing w:line="312" w:lineRule="auto"/>
      </w:pPr>
    </w:p>
    <w:p w14:paraId="6C296507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14:paraId="4A6663EB" w14:textId="77777777" w:rsidR="00D57C0F" w:rsidRDefault="00D57C0F" w:rsidP="00706835">
      <w:pPr>
        <w:spacing w:line="400" w:lineRule="atLeast"/>
        <w:ind w:firstLine="420"/>
        <w:rPr>
          <w:rFonts w:ascii="宋体" w:hAnsi="宋体"/>
          <w:szCs w:val="21"/>
        </w:rPr>
      </w:pPr>
      <w:r w:rsidRPr="00D57C0F">
        <w:rPr>
          <w:rFonts w:ascii="宋体" w:hAnsi="宋体" w:hint="eastAsia"/>
          <w:szCs w:val="21"/>
        </w:rPr>
        <w:t>郑传斌, 丰景春, 鹿倩倩, 张可, &amp; 薛松. (2017). 全生命周期视角</w:t>
      </w:r>
      <w:proofErr w:type="gramStart"/>
      <w:r w:rsidRPr="00D57C0F">
        <w:rPr>
          <w:rFonts w:ascii="宋体" w:hAnsi="宋体" w:hint="eastAsia"/>
          <w:szCs w:val="21"/>
        </w:rPr>
        <w:t>下关系</w:t>
      </w:r>
      <w:proofErr w:type="gramEnd"/>
      <w:r w:rsidRPr="00D57C0F">
        <w:rPr>
          <w:rFonts w:ascii="宋体" w:hAnsi="宋体" w:hint="eastAsia"/>
          <w:szCs w:val="21"/>
        </w:rPr>
        <w:t>治理与契约治理导向匹配关系的实证研究——以 PPP 项目为例. 管理评论, 29(12), 258-268.</w:t>
      </w:r>
    </w:p>
    <w:p w14:paraId="5ABB89F7" w14:textId="18CEA396" w:rsidR="002320C2" w:rsidRPr="00706835" w:rsidRDefault="002320C2" w:rsidP="00706835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8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</w:t>
      </w:r>
      <w:proofErr w:type="gramEnd"/>
      <w:r>
        <w:rPr>
          <w:rFonts w:ascii="黑体" w:eastAsia="黑体" w:hAnsi="宋体" w:hint="eastAsia"/>
          <w:color w:val="FF0000"/>
          <w:sz w:val="24"/>
        </w:rPr>
        <w:t>请与原作者联系。为了尊重作者的劳动成果，请规范引用，谢谢！</w:t>
      </w:r>
    </w:p>
    <w:sectPr w:rsidR="002320C2" w:rsidRPr="00706835" w:rsidSect="00CD1198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6CE7" w14:textId="77777777" w:rsidR="00DC5E30" w:rsidRDefault="00DC5E30">
      <w:r>
        <w:separator/>
      </w:r>
    </w:p>
  </w:endnote>
  <w:endnote w:type="continuationSeparator" w:id="0">
    <w:p w14:paraId="2294D86A" w14:textId="77777777" w:rsidR="00DC5E30" w:rsidRDefault="00D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SK--GBK1-0">
    <w:altName w:val="Cambria"/>
    <w:panose1 w:val="00000000000000000000"/>
    <w:charset w:val="00"/>
    <w:family w:val="roman"/>
    <w:notTrueType/>
    <w:pitch w:val="default"/>
  </w:font>
  <w:font w:name="E-BZ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A76B" w14:textId="77777777" w:rsidR="002320C2" w:rsidRDefault="002320C2">
    <w:pPr>
      <w:pStyle w:val="a5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AA49" w14:textId="77777777" w:rsidR="00DC5E30" w:rsidRDefault="00DC5E30">
      <w:r>
        <w:separator/>
      </w:r>
    </w:p>
  </w:footnote>
  <w:footnote w:type="continuationSeparator" w:id="0">
    <w:p w14:paraId="3C84963F" w14:textId="77777777" w:rsidR="00DC5E30" w:rsidRDefault="00D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3A4B"/>
    <w:multiLevelType w:val="multilevel"/>
    <w:tmpl w:val="6BD63A4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FAB"/>
    <w:rsid w:val="00000364"/>
    <w:rsid w:val="00003BF4"/>
    <w:rsid w:val="00004564"/>
    <w:rsid w:val="00034C36"/>
    <w:rsid w:val="00036CBC"/>
    <w:rsid w:val="00087E8A"/>
    <w:rsid w:val="000E48B6"/>
    <w:rsid w:val="00102284"/>
    <w:rsid w:val="00102E3A"/>
    <w:rsid w:val="00105314"/>
    <w:rsid w:val="0011748B"/>
    <w:rsid w:val="001E4847"/>
    <w:rsid w:val="00217175"/>
    <w:rsid w:val="002320C2"/>
    <w:rsid w:val="00242EEA"/>
    <w:rsid w:val="00271B4C"/>
    <w:rsid w:val="002731E8"/>
    <w:rsid w:val="00287E7C"/>
    <w:rsid w:val="00297111"/>
    <w:rsid w:val="002C678D"/>
    <w:rsid w:val="002D563C"/>
    <w:rsid w:val="002E577A"/>
    <w:rsid w:val="0034539C"/>
    <w:rsid w:val="00363CDC"/>
    <w:rsid w:val="00364590"/>
    <w:rsid w:val="003720AD"/>
    <w:rsid w:val="00377C68"/>
    <w:rsid w:val="00393969"/>
    <w:rsid w:val="003B2F3F"/>
    <w:rsid w:val="003C4986"/>
    <w:rsid w:val="003C555C"/>
    <w:rsid w:val="003D754D"/>
    <w:rsid w:val="003E0B51"/>
    <w:rsid w:val="003E2909"/>
    <w:rsid w:val="003F1F32"/>
    <w:rsid w:val="003F26E8"/>
    <w:rsid w:val="003F636E"/>
    <w:rsid w:val="00407CE5"/>
    <w:rsid w:val="00413CEE"/>
    <w:rsid w:val="00415AE1"/>
    <w:rsid w:val="00421928"/>
    <w:rsid w:val="00430774"/>
    <w:rsid w:val="00432CD2"/>
    <w:rsid w:val="00490EC0"/>
    <w:rsid w:val="004A0EA8"/>
    <w:rsid w:val="004A12EF"/>
    <w:rsid w:val="004A19A8"/>
    <w:rsid w:val="004A408C"/>
    <w:rsid w:val="004B59A3"/>
    <w:rsid w:val="004C0110"/>
    <w:rsid w:val="004E082F"/>
    <w:rsid w:val="00546C72"/>
    <w:rsid w:val="00564761"/>
    <w:rsid w:val="00590101"/>
    <w:rsid w:val="005A21BC"/>
    <w:rsid w:val="005A4A88"/>
    <w:rsid w:val="005B02A1"/>
    <w:rsid w:val="005B6B1A"/>
    <w:rsid w:val="005B6D39"/>
    <w:rsid w:val="005E4764"/>
    <w:rsid w:val="006126C8"/>
    <w:rsid w:val="00616DD2"/>
    <w:rsid w:val="006316B0"/>
    <w:rsid w:val="00632B14"/>
    <w:rsid w:val="00670F4B"/>
    <w:rsid w:val="00675CCB"/>
    <w:rsid w:val="006A6136"/>
    <w:rsid w:val="006C1D0B"/>
    <w:rsid w:val="006C7108"/>
    <w:rsid w:val="006E51BB"/>
    <w:rsid w:val="006F0C4B"/>
    <w:rsid w:val="006F200D"/>
    <w:rsid w:val="00706835"/>
    <w:rsid w:val="00720EC7"/>
    <w:rsid w:val="007213AF"/>
    <w:rsid w:val="00721930"/>
    <w:rsid w:val="00763662"/>
    <w:rsid w:val="00765298"/>
    <w:rsid w:val="0076596C"/>
    <w:rsid w:val="0077440B"/>
    <w:rsid w:val="0078015F"/>
    <w:rsid w:val="00792A65"/>
    <w:rsid w:val="007A7ADE"/>
    <w:rsid w:val="007B3503"/>
    <w:rsid w:val="007B3AF2"/>
    <w:rsid w:val="007D2123"/>
    <w:rsid w:val="00802AAB"/>
    <w:rsid w:val="008030D8"/>
    <w:rsid w:val="00827B51"/>
    <w:rsid w:val="00832C45"/>
    <w:rsid w:val="008432B2"/>
    <w:rsid w:val="00853319"/>
    <w:rsid w:val="008625F3"/>
    <w:rsid w:val="00863DB5"/>
    <w:rsid w:val="00866E95"/>
    <w:rsid w:val="00877D3D"/>
    <w:rsid w:val="00881C3F"/>
    <w:rsid w:val="00890543"/>
    <w:rsid w:val="008F2EC4"/>
    <w:rsid w:val="009167F9"/>
    <w:rsid w:val="00922054"/>
    <w:rsid w:val="009265FE"/>
    <w:rsid w:val="009823C7"/>
    <w:rsid w:val="009C4FC7"/>
    <w:rsid w:val="009C6CDE"/>
    <w:rsid w:val="009F5EB5"/>
    <w:rsid w:val="00A17FD7"/>
    <w:rsid w:val="00A25881"/>
    <w:rsid w:val="00A27734"/>
    <w:rsid w:val="00A366AB"/>
    <w:rsid w:val="00A42E6A"/>
    <w:rsid w:val="00A56A28"/>
    <w:rsid w:val="00A866A3"/>
    <w:rsid w:val="00A95BAD"/>
    <w:rsid w:val="00AA4086"/>
    <w:rsid w:val="00AC67FF"/>
    <w:rsid w:val="00AD5595"/>
    <w:rsid w:val="00B02C73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BF5E39"/>
    <w:rsid w:val="00C01935"/>
    <w:rsid w:val="00C27729"/>
    <w:rsid w:val="00C30485"/>
    <w:rsid w:val="00C74BA0"/>
    <w:rsid w:val="00CA1031"/>
    <w:rsid w:val="00CB1079"/>
    <w:rsid w:val="00CB67D0"/>
    <w:rsid w:val="00CC0234"/>
    <w:rsid w:val="00CD1198"/>
    <w:rsid w:val="00CD2E7E"/>
    <w:rsid w:val="00CE0B06"/>
    <w:rsid w:val="00CE60D5"/>
    <w:rsid w:val="00D14050"/>
    <w:rsid w:val="00D146B9"/>
    <w:rsid w:val="00D3356F"/>
    <w:rsid w:val="00D517C4"/>
    <w:rsid w:val="00D57C0F"/>
    <w:rsid w:val="00D6134C"/>
    <w:rsid w:val="00D92D23"/>
    <w:rsid w:val="00DB216D"/>
    <w:rsid w:val="00DC2CAB"/>
    <w:rsid w:val="00DC4550"/>
    <w:rsid w:val="00DC5E30"/>
    <w:rsid w:val="00DC6BA7"/>
    <w:rsid w:val="00E02741"/>
    <w:rsid w:val="00E04B9C"/>
    <w:rsid w:val="00E23DA9"/>
    <w:rsid w:val="00E30A71"/>
    <w:rsid w:val="00E45F29"/>
    <w:rsid w:val="00E6282F"/>
    <w:rsid w:val="00E660A7"/>
    <w:rsid w:val="00E70A47"/>
    <w:rsid w:val="00E9049B"/>
    <w:rsid w:val="00EB75AB"/>
    <w:rsid w:val="00EC660C"/>
    <w:rsid w:val="00ED48EC"/>
    <w:rsid w:val="00EE07DC"/>
    <w:rsid w:val="00EE3205"/>
    <w:rsid w:val="00EE6A7D"/>
    <w:rsid w:val="00EF4B89"/>
    <w:rsid w:val="00F03AEE"/>
    <w:rsid w:val="00F06DA2"/>
    <w:rsid w:val="00F10053"/>
    <w:rsid w:val="00F22FAB"/>
    <w:rsid w:val="00F26F31"/>
    <w:rsid w:val="00F352EF"/>
    <w:rsid w:val="00F365FB"/>
    <w:rsid w:val="00F571A2"/>
    <w:rsid w:val="00F83FCB"/>
    <w:rsid w:val="00F95B5F"/>
    <w:rsid w:val="00FA1EBA"/>
    <w:rsid w:val="00FA6C38"/>
    <w:rsid w:val="00FB7992"/>
    <w:rsid w:val="00FD40DB"/>
    <w:rsid w:val="00FE667C"/>
    <w:rsid w:val="0A8E6B4D"/>
    <w:rsid w:val="0FB671BC"/>
    <w:rsid w:val="15461830"/>
    <w:rsid w:val="16723247"/>
    <w:rsid w:val="19FF223F"/>
    <w:rsid w:val="27087FD4"/>
    <w:rsid w:val="2A393F02"/>
    <w:rsid w:val="3A2F60B7"/>
    <w:rsid w:val="40366012"/>
    <w:rsid w:val="459A107E"/>
    <w:rsid w:val="49692FB1"/>
    <w:rsid w:val="4F1D1947"/>
    <w:rsid w:val="5A7E5466"/>
    <w:rsid w:val="6FB10A12"/>
    <w:rsid w:val="742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F5F3C"/>
  <w15:chartTrackingRefBased/>
  <w15:docId w15:val="{3101405A-4D04-4C36-9CCB-DA3F743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4">
    <w:name w:val="页脚 字符"/>
    <w:link w:val="a5"/>
    <w:rPr>
      <w:kern w:val="2"/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E60D5"/>
    <w:rPr>
      <w:rFonts w:ascii="FZSSK--GBK1-0" w:hAnsi="FZSSK--GBK1-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CE60D5"/>
    <w:rPr>
      <w:rFonts w:ascii="E-BZ" w:hAnsi="E-BZ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hr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DFA0-3E3A-4B88-B8BA-CA541A12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156</Words>
  <Characters>895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1049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许龙</cp:lastModifiedBy>
  <cp:revision>19</cp:revision>
  <dcterms:created xsi:type="dcterms:W3CDTF">2018-01-12T05:50:00Z</dcterms:created>
  <dcterms:modified xsi:type="dcterms:W3CDTF">2018-01-12T07:19:00Z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