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2D" w:rsidRPr="0008396C" w:rsidRDefault="0085042D">
      <w:pPr>
        <w:jc w:val="center"/>
        <w:rPr>
          <w:rFonts w:asciiTheme="minorHAnsi" w:eastAsia="黑体" w:hAnsiTheme="minorHAnsi" w:cstheme="minorHAnsi"/>
          <w:sz w:val="24"/>
        </w:rPr>
      </w:pPr>
      <w:r w:rsidRPr="0008396C">
        <w:rPr>
          <w:rFonts w:asciiTheme="minorHAnsi" w:eastAsia="黑体" w:hAnsiTheme="minorHAnsi" w:cstheme="minorHAnsi"/>
          <w:sz w:val="24"/>
        </w:rPr>
        <w:t>工作解脱的主管支持量表</w:t>
      </w:r>
      <w:r w:rsidRPr="0008396C">
        <w:rPr>
          <w:rFonts w:asciiTheme="minorHAnsi" w:eastAsia="黑体" w:hAnsiTheme="minorHAnsi" w:cstheme="minorHAnsi"/>
          <w:sz w:val="24"/>
        </w:rPr>
        <w:t>(Bennett</w:t>
      </w:r>
      <w:r w:rsidRPr="0008396C">
        <w:rPr>
          <w:rFonts w:asciiTheme="minorHAnsi" w:eastAsia="黑体" w:hAnsiTheme="minorHAnsi" w:cstheme="minorHAnsi"/>
          <w:sz w:val="24"/>
        </w:rPr>
        <w:t>等</w:t>
      </w:r>
      <w:r w:rsidRPr="0008396C">
        <w:rPr>
          <w:rFonts w:asciiTheme="minorHAnsi" w:eastAsia="黑体" w:hAnsiTheme="minorHAnsi" w:cstheme="minorHAnsi"/>
          <w:sz w:val="24"/>
        </w:rPr>
        <w:t>,2016)</w:t>
      </w:r>
    </w:p>
    <w:p w:rsidR="0085042D" w:rsidRPr="0008396C" w:rsidRDefault="0085042D">
      <w:pPr>
        <w:jc w:val="center"/>
        <w:rPr>
          <w:rFonts w:asciiTheme="minorHAnsi" w:eastAsia="黑体" w:hAnsiTheme="minorHAnsi" w:cstheme="minorHAnsi"/>
          <w:sz w:val="24"/>
        </w:rPr>
      </w:pPr>
      <w:r w:rsidRPr="0008396C">
        <w:rPr>
          <w:rFonts w:asciiTheme="minorHAnsi" w:eastAsia="黑体" w:hAnsiTheme="minorHAnsi" w:cstheme="minorHAnsi"/>
          <w:sz w:val="24"/>
        </w:rPr>
        <w:t xml:space="preserve">(Supervisor Support for Recovery </w:t>
      </w:r>
      <w:proofErr w:type="spellStart"/>
      <w:r w:rsidRPr="0008396C">
        <w:rPr>
          <w:rFonts w:asciiTheme="minorHAnsi" w:eastAsia="黑体" w:hAnsiTheme="minorHAnsi" w:cstheme="minorHAnsi"/>
          <w:sz w:val="24"/>
        </w:rPr>
        <w:t>Scale</w:t>
      </w:r>
      <w:proofErr w:type="gramStart"/>
      <w:r w:rsidRPr="0008396C">
        <w:rPr>
          <w:rFonts w:asciiTheme="minorHAnsi" w:eastAsia="黑体" w:hAnsiTheme="minorHAnsi" w:cstheme="minorHAnsi"/>
          <w:sz w:val="24"/>
        </w:rPr>
        <w:t>,SSRS</w:t>
      </w:r>
      <w:proofErr w:type="spellEnd"/>
      <w:proofErr w:type="gramEnd"/>
      <w:r w:rsidRPr="0008396C">
        <w:rPr>
          <w:rFonts w:asciiTheme="minorHAnsi" w:eastAsia="黑体" w:hAnsiTheme="minorHAnsi" w:cstheme="minorHAnsi"/>
          <w:sz w:val="24"/>
        </w:rPr>
        <w:t>)</w:t>
      </w:r>
    </w:p>
    <w:p w:rsidR="00000000" w:rsidRPr="0008396C" w:rsidRDefault="00EC39E4">
      <w:pPr>
        <w:spacing w:line="312" w:lineRule="auto"/>
        <w:rPr>
          <w:rFonts w:asciiTheme="minorHAnsi" w:hAnsiTheme="minorHAnsi" w:cstheme="minorHAnsi"/>
          <w:szCs w:val="21"/>
        </w:rPr>
      </w:pPr>
    </w:p>
    <w:p w:rsidR="00000000" w:rsidRPr="0008396C" w:rsidRDefault="00EC39E4">
      <w:pPr>
        <w:spacing w:line="312" w:lineRule="auto"/>
        <w:rPr>
          <w:rFonts w:asciiTheme="minorHAnsi" w:eastAsia="黑体" w:hAnsiTheme="minorHAnsi" w:cstheme="minorHAnsi"/>
          <w:sz w:val="30"/>
          <w:szCs w:val="30"/>
        </w:rPr>
      </w:pPr>
      <w:r w:rsidRPr="0008396C">
        <w:rPr>
          <w:rFonts w:asciiTheme="minorHAnsi" w:eastAsia="黑体" w:hAnsiTheme="minorHAnsi" w:cstheme="minorHAnsi"/>
          <w:sz w:val="30"/>
          <w:szCs w:val="30"/>
        </w:rPr>
        <w:t>简介</w:t>
      </w:r>
    </w:p>
    <w:p w:rsidR="00000000" w:rsidRPr="0008396C" w:rsidRDefault="00F6310F">
      <w:pPr>
        <w:spacing w:line="312" w:lineRule="auto"/>
        <w:ind w:firstLine="420"/>
        <w:rPr>
          <w:rFonts w:asciiTheme="minorHAnsi" w:hAnsiTheme="minorHAnsi" w:cstheme="minorHAnsi"/>
          <w:szCs w:val="21"/>
        </w:rPr>
      </w:pPr>
      <w:r w:rsidRPr="0008396C">
        <w:rPr>
          <w:rFonts w:asciiTheme="minorHAnsi" w:hAnsiTheme="minorHAnsi" w:cstheme="minorHAnsi"/>
          <w:szCs w:val="21"/>
        </w:rPr>
        <w:t>员工面对一系列的工作需求，因而消耗了个人资源，并使得从工作中解脱成为必要。</w:t>
      </w:r>
      <w:r w:rsidR="0008396C" w:rsidRPr="0008396C">
        <w:rPr>
          <w:rFonts w:asciiTheme="minorHAnsi" w:hAnsiTheme="minorHAnsi" w:cstheme="minorHAnsi"/>
          <w:szCs w:val="21"/>
        </w:rPr>
        <w:t>工作解脱的研究集中在研究在工作外时间的</w:t>
      </w:r>
      <w:r w:rsidRPr="0008396C">
        <w:rPr>
          <w:rFonts w:asciiTheme="minorHAnsi" w:hAnsiTheme="minorHAnsi" w:cstheme="minorHAnsi"/>
          <w:szCs w:val="21"/>
        </w:rPr>
        <w:t>工作解脱</w:t>
      </w:r>
      <w:r w:rsidR="0008396C" w:rsidRPr="0008396C">
        <w:rPr>
          <w:rFonts w:asciiTheme="minorHAnsi" w:hAnsiTheme="minorHAnsi" w:cstheme="minorHAnsi"/>
          <w:szCs w:val="21"/>
        </w:rPr>
        <w:t>经历和员工幸福感的关系。而主管支持可能会影响员工</w:t>
      </w:r>
      <w:r w:rsidRPr="0008396C">
        <w:rPr>
          <w:rFonts w:asciiTheme="minorHAnsi" w:hAnsiTheme="minorHAnsi" w:cstheme="minorHAnsi"/>
          <w:szCs w:val="21"/>
        </w:rPr>
        <w:t>工作解脱的经历。</w:t>
      </w:r>
    </w:p>
    <w:p w:rsidR="00F6310F" w:rsidRPr="0008396C" w:rsidRDefault="00F6310F">
      <w:pPr>
        <w:spacing w:line="312" w:lineRule="auto"/>
        <w:ind w:firstLine="420"/>
        <w:rPr>
          <w:rFonts w:asciiTheme="minorHAnsi" w:hAnsiTheme="minorHAnsi" w:cstheme="minorHAnsi"/>
          <w:szCs w:val="21"/>
        </w:rPr>
      </w:pPr>
    </w:p>
    <w:p w:rsidR="00000000" w:rsidRPr="0008396C" w:rsidRDefault="00EC39E4">
      <w:pPr>
        <w:spacing w:line="312" w:lineRule="auto"/>
        <w:rPr>
          <w:rFonts w:asciiTheme="minorHAnsi" w:eastAsia="黑体" w:hAnsiTheme="minorHAnsi" w:cstheme="minorHAnsi"/>
          <w:sz w:val="30"/>
          <w:szCs w:val="30"/>
        </w:rPr>
      </w:pPr>
      <w:r w:rsidRPr="0008396C">
        <w:rPr>
          <w:rFonts w:asciiTheme="minorHAnsi" w:eastAsia="黑体" w:hAnsiTheme="minorHAnsi" w:cstheme="minorHAnsi"/>
          <w:sz w:val="30"/>
          <w:szCs w:val="30"/>
        </w:rPr>
        <w:t>信度与效度</w:t>
      </w:r>
    </w:p>
    <w:p w:rsidR="003663D4" w:rsidRPr="0008396C" w:rsidRDefault="0008396C">
      <w:pPr>
        <w:spacing w:line="312" w:lineRule="auto"/>
        <w:ind w:firstLineChars="200" w:firstLine="420"/>
        <w:rPr>
          <w:rFonts w:asciiTheme="minorHAnsi" w:hAnsiTheme="minorHAnsi" w:cstheme="minorHAnsi"/>
          <w:szCs w:val="21"/>
        </w:rPr>
      </w:pPr>
      <w:r w:rsidRPr="0008396C">
        <w:rPr>
          <w:rFonts w:asciiTheme="minorHAnsi" w:hAnsiTheme="minorHAnsi" w:cstheme="minorHAnsi"/>
          <w:szCs w:val="21"/>
        </w:rPr>
        <w:t>在开发工作摆脱的主管支持量表（</w:t>
      </w:r>
      <w:r w:rsidRPr="0008396C">
        <w:rPr>
          <w:rFonts w:asciiTheme="minorHAnsi" w:hAnsiTheme="minorHAnsi" w:cstheme="minorHAnsi"/>
          <w:szCs w:val="21"/>
        </w:rPr>
        <w:t>SSR</w:t>
      </w:r>
      <w:r w:rsidRPr="0008396C">
        <w:rPr>
          <w:rFonts w:asciiTheme="minorHAnsi" w:hAnsiTheme="minorHAnsi" w:cstheme="minorHAnsi"/>
          <w:szCs w:val="21"/>
        </w:rPr>
        <w:t>）中，一开始采用了</w:t>
      </w:r>
      <w:r w:rsidRPr="0008396C">
        <w:rPr>
          <w:rFonts w:asciiTheme="minorHAnsi" w:hAnsiTheme="minorHAnsi" w:cstheme="minorHAnsi"/>
          <w:szCs w:val="21"/>
        </w:rPr>
        <w:t>11</w:t>
      </w:r>
      <w:r w:rsidRPr="0008396C">
        <w:rPr>
          <w:rFonts w:asciiTheme="minorHAnsi" w:hAnsiTheme="minorHAnsi" w:cstheme="minorHAnsi"/>
          <w:szCs w:val="21"/>
        </w:rPr>
        <w:t>项题的量表，其中</w:t>
      </w:r>
      <w:r w:rsidRPr="0008396C">
        <w:rPr>
          <w:rFonts w:asciiTheme="minorHAnsi" w:hAnsiTheme="minorHAnsi" w:cstheme="minorHAnsi"/>
          <w:szCs w:val="21"/>
        </w:rPr>
        <w:t>9</w:t>
      </w:r>
      <w:r w:rsidRPr="0008396C">
        <w:rPr>
          <w:rFonts w:asciiTheme="minorHAnsi" w:hAnsiTheme="minorHAnsi" w:cstheme="minorHAnsi"/>
          <w:szCs w:val="21"/>
        </w:rPr>
        <w:t>项由研究团队编制，另外</w:t>
      </w:r>
      <w:r w:rsidRPr="0008396C">
        <w:rPr>
          <w:rFonts w:asciiTheme="minorHAnsi" w:hAnsiTheme="minorHAnsi" w:cstheme="minorHAnsi"/>
          <w:szCs w:val="21"/>
        </w:rPr>
        <w:t>2</w:t>
      </w:r>
      <w:r w:rsidRPr="0008396C">
        <w:rPr>
          <w:rFonts w:asciiTheme="minorHAnsi" w:hAnsiTheme="minorHAnsi" w:cstheme="minorHAnsi"/>
          <w:szCs w:val="21"/>
        </w:rPr>
        <w:t>项来自现有量表</w:t>
      </w:r>
      <w:r w:rsidRPr="0008396C">
        <w:rPr>
          <w:rFonts w:asciiTheme="minorHAnsi" w:hAnsiTheme="minorHAnsi" w:cstheme="minorHAnsi"/>
          <w:szCs w:val="21"/>
        </w:rPr>
        <w:t>(</w:t>
      </w:r>
      <w:r w:rsidRPr="0008396C">
        <w:rPr>
          <w:rFonts w:asciiTheme="minorHAnsi" w:hAnsiTheme="minorHAnsi" w:cstheme="minorHAnsi"/>
          <w:szCs w:val="21"/>
        </w:rPr>
        <w:t>如</w:t>
      </w:r>
      <w:r w:rsidRPr="0008396C">
        <w:rPr>
          <w:rFonts w:asciiTheme="minorHAnsi" w:hAnsiTheme="minorHAnsi" w:cstheme="minorHAnsi"/>
          <w:szCs w:val="21"/>
        </w:rPr>
        <w:t xml:space="preserve">Booth &amp; Matthews, 2012; Major, Klein, &amp; </w:t>
      </w:r>
      <w:proofErr w:type="spellStart"/>
      <w:r w:rsidRPr="0008396C">
        <w:rPr>
          <w:rFonts w:asciiTheme="minorHAnsi" w:hAnsiTheme="minorHAnsi" w:cstheme="minorHAnsi"/>
          <w:szCs w:val="21"/>
        </w:rPr>
        <w:t>Ehradt</w:t>
      </w:r>
      <w:proofErr w:type="spellEnd"/>
      <w:r w:rsidRPr="0008396C">
        <w:rPr>
          <w:rFonts w:asciiTheme="minorHAnsi" w:hAnsiTheme="minorHAnsi" w:cstheme="minorHAnsi"/>
          <w:szCs w:val="21"/>
        </w:rPr>
        <w:t xml:space="preserve">, 2002 ). </w:t>
      </w:r>
      <w:r w:rsidRPr="0008396C">
        <w:rPr>
          <w:rFonts w:asciiTheme="minorHAnsi" w:hAnsiTheme="minorHAnsi" w:cstheme="minorHAnsi"/>
          <w:szCs w:val="21"/>
        </w:rPr>
        <w:t>为了评估</w:t>
      </w:r>
      <w:r w:rsidRPr="0008396C">
        <w:rPr>
          <w:rFonts w:asciiTheme="minorHAnsi" w:hAnsiTheme="minorHAnsi" w:cstheme="minorHAnsi"/>
          <w:szCs w:val="21"/>
        </w:rPr>
        <w:t>SSR</w:t>
      </w:r>
      <w:r w:rsidRPr="0008396C">
        <w:rPr>
          <w:rFonts w:asciiTheme="minorHAnsi" w:hAnsiTheme="minorHAnsi" w:cstheme="minorHAnsi"/>
          <w:szCs w:val="21"/>
        </w:rPr>
        <w:t>的信度和</w:t>
      </w:r>
      <w:proofErr w:type="gramStart"/>
      <w:r w:rsidRPr="0008396C">
        <w:rPr>
          <w:rFonts w:asciiTheme="minorHAnsi" w:hAnsiTheme="minorHAnsi" w:cstheme="minorHAnsi"/>
          <w:szCs w:val="21"/>
        </w:rPr>
        <w:t>构念</w:t>
      </w:r>
      <w:proofErr w:type="gramEnd"/>
      <w:r w:rsidRPr="0008396C">
        <w:rPr>
          <w:rFonts w:asciiTheme="minorHAnsi" w:hAnsiTheme="minorHAnsi" w:cstheme="minorHAnsi"/>
          <w:szCs w:val="21"/>
        </w:rPr>
        <w:t>效度，我们通过亚马逊</w:t>
      </w:r>
      <w:r w:rsidRPr="0008396C">
        <w:rPr>
          <w:rFonts w:asciiTheme="minorHAnsi" w:hAnsiTheme="minorHAnsi" w:cstheme="minorHAnsi"/>
          <w:szCs w:val="21"/>
        </w:rPr>
        <w:t>Mechanical Turk</w:t>
      </w:r>
      <w:r w:rsidRPr="0008396C">
        <w:rPr>
          <w:rFonts w:asciiTheme="minorHAnsi" w:hAnsiTheme="minorHAnsi" w:cstheme="minorHAnsi"/>
          <w:szCs w:val="21"/>
        </w:rPr>
        <w:t>平台招募了具有主管职责的员工完成量表，并用</w:t>
      </w:r>
      <w:r w:rsidRPr="0008396C">
        <w:rPr>
          <w:rFonts w:asciiTheme="minorHAnsi" w:hAnsiTheme="minorHAnsi" w:cstheme="minorHAnsi"/>
          <w:szCs w:val="21"/>
        </w:rPr>
        <w:t>1</w:t>
      </w:r>
      <w:r w:rsidRPr="0008396C">
        <w:rPr>
          <w:rFonts w:asciiTheme="minorHAnsi" w:hAnsiTheme="minorHAnsi" w:cstheme="minorHAnsi"/>
          <w:szCs w:val="21"/>
        </w:rPr>
        <w:t>美元作为报酬。他们完成的量表除了最初的</w:t>
      </w:r>
      <w:r w:rsidRPr="0008396C">
        <w:rPr>
          <w:rFonts w:asciiTheme="minorHAnsi" w:hAnsiTheme="minorHAnsi" w:cstheme="minorHAnsi"/>
          <w:szCs w:val="21"/>
        </w:rPr>
        <w:t>11</w:t>
      </w:r>
      <w:r w:rsidRPr="0008396C">
        <w:rPr>
          <w:rFonts w:asciiTheme="minorHAnsi" w:hAnsiTheme="minorHAnsi" w:cstheme="minorHAnsi"/>
          <w:szCs w:val="21"/>
        </w:rPr>
        <w:t>项</w:t>
      </w:r>
      <w:r w:rsidRPr="0008396C">
        <w:rPr>
          <w:rFonts w:asciiTheme="minorHAnsi" w:hAnsiTheme="minorHAnsi" w:cstheme="minorHAnsi"/>
          <w:szCs w:val="21"/>
        </w:rPr>
        <w:t>SSR</w:t>
      </w:r>
      <w:r w:rsidRPr="0008396C">
        <w:rPr>
          <w:rFonts w:asciiTheme="minorHAnsi" w:hAnsiTheme="minorHAnsi" w:cstheme="minorHAnsi"/>
          <w:szCs w:val="21"/>
        </w:rPr>
        <w:t>量表，同时为了验证聚合效度（如家庭支持主管行为</w:t>
      </w:r>
      <w:r w:rsidRPr="0008396C">
        <w:rPr>
          <w:rFonts w:asciiTheme="minorHAnsi" w:hAnsiTheme="minorHAnsi" w:cstheme="minorHAnsi"/>
          <w:szCs w:val="21"/>
        </w:rPr>
        <w:t xml:space="preserve"> [14</w:t>
      </w:r>
      <w:r w:rsidRPr="0008396C">
        <w:rPr>
          <w:rFonts w:asciiTheme="minorHAnsi" w:hAnsiTheme="minorHAnsi" w:cstheme="minorHAnsi"/>
          <w:szCs w:val="21"/>
        </w:rPr>
        <w:t>项</w:t>
      </w:r>
      <w:r w:rsidRPr="0008396C">
        <w:rPr>
          <w:rFonts w:asciiTheme="minorHAnsi" w:hAnsiTheme="minorHAnsi" w:cstheme="minorHAnsi"/>
          <w:szCs w:val="21"/>
        </w:rPr>
        <w:t xml:space="preserve">; Hammer, </w:t>
      </w:r>
      <w:proofErr w:type="spellStart"/>
      <w:r w:rsidRPr="0008396C">
        <w:rPr>
          <w:rFonts w:asciiTheme="minorHAnsi" w:hAnsiTheme="minorHAnsi" w:cstheme="minorHAnsi"/>
          <w:szCs w:val="21"/>
        </w:rPr>
        <w:t>Kossek</w:t>
      </w:r>
      <w:proofErr w:type="spellEnd"/>
      <w:r w:rsidRPr="0008396C">
        <w:rPr>
          <w:rFonts w:asciiTheme="minorHAnsi" w:hAnsiTheme="minorHAnsi" w:cstheme="minorHAnsi"/>
          <w:szCs w:val="21"/>
        </w:rPr>
        <w:t xml:space="preserve">, </w:t>
      </w:r>
      <w:proofErr w:type="spellStart"/>
      <w:r w:rsidRPr="0008396C">
        <w:rPr>
          <w:rFonts w:asciiTheme="minorHAnsi" w:hAnsiTheme="minorHAnsi" w:cstheme="minorHAnsi"/>
          <w:szCs w:val="21"/>
        </w:rPr>
        <w:t>Yragui</w:t>
      </w:r>
      <w:proofErr w:type="spellEnd"/>
      <w:r w:rsidRPr="0008396C">
        <w:rPr>
          <w:rFonts w:asciiTheme="minorHAnsi" w:hAnsiTheme="minorHAnsi" w:cstheme="minorHAnsi"/>
          <w:szCs w:val="21"/>
        </w:rPr>
        <w:t xml:space="preserve">, </w:t>
      </w:r>
      <w:proofErr w:type="spellStart"/>
      <w:r w:rsidRPr="0008396C">
        <w:rPr>
          <w:rFonts w:asciiTheme="minorHAnsi" w:hAnsiTheme="minorHAnsi" w:cstheme="minorHAnsi"/>
          <w:szCs w:val="21"/>
        </w:rPr>
        <w:t>Bodner</w:t>
      </w:r>
      <w:proofErr w:type="spellEnd"/>
      <w:r w:rsidRPr="0008396C">
        <w:rPr>
          <w:rFonts w:asciiTheme="minorHAnsi" w:hAnsiTheme="minorHAnsi" w:cstheme="minorHAnsi"/>
          <w:szCs w:val="21"/>
        </w:rPr>
        <w:t xml:space="preserve">, &amp; Hanson, 2009]; </w:t>
      </w:r>
      <w:r w:rsidRPr="0008396C">
        <w:rPr>
          <w:rFonts w:asciiTheme="minorHAnsi" w:hAnsiTheme="minorHAnsi" w:cstheme="minorHAnsi"/>
          <w:szCs w:val="21"/>
        </w:rPr>
        <w:t>遥测压力规范</w:t>
      </w:r>
      <w:r w:rsidRPr="0008396C">
        <w:rPr>
          <w:rFonts w:asciiTheme="minorHAnsi" w:hAnsiTheme="minorHAnsi" w:cstheme="minorHAnsi"/>
          <w:szCs w:val="21"/>
        </w:rPr>
        <w:t>[2</w:t>
      </w:r>
      <w:r w:rsidRPr="0008396C">
        <w:rPr>
          <w:rFonts w:asciiTheme="minorHAnsi" w:hAnsiTheme="minorHAnsi" w:cstheme="minorHAnsi"/>
          <w:szCs w:val="21"/>
        </w:rPr>
        <w:t>项</w:t>
      </w:r>
      <w:r w:rsidRPr="0008396C">
        <w:rPr>
          <w:rFonts w:asciiTheme="minorHAnsi" w:hAnsiTheme="minorHAnsi" w:cstheme="minorHAnsi"/>
          <w:szCs w:val="21"/>
        </w:rPr>
        <w:t xml:space="preserve">; Barber &amp; </w:t>
      </w:r>
      <w:proofErr w:type="spellStart"/>
      <w:r w:rsidRPr="0008396C">
        <w:rPr>
          <w:rFonts w:asciiTheme="minorHAnsi" w:hAnsiTheme="minorHAnsi" w:cstheme="minorHAnsi"/>
          <w:szCs w:val="21"/>
        </w:rPr>
        <w:t>S</w:t>
      </w:r>
      <w:bookmarkStart w:id="0" w:name="_GoBack"/>
      <w:bookmarkEnd w:id="0"/>
      <w:r w:rsidRPr="0008396C">
        <w:rPr>
          <w:rFonts w:asciiTheme="minorHAnsi" w:hAnsiTheme="minorHAnsi" w:cstheme="minorHAnsi"/>
          <w:szCs w:val="21"/>
        </w:rPr>
        <w:t>antuzzi</w:t>
      </w:r>
      <w:proofErr w:type="spellEnd"/>
      <w:r w:rsidRPr="0008396C">
        <w:rPr>
          <w:rFonts w:asciiTheme="minorHAnsi" w:hAnsiTheme="minorHAnsi" w:cstheme="minorHAnsi"/>
          <w:szCs w:val="21"/>
        </w:rPr>
        <w:t>, 2015];</w:t>
      </w:r>
      <w:r w:rsidRPr="0008396C">
        <w:rPr>
          <w:rFonts w:asciiTheme="minorHAnsi" w:hAnsiTheme="minorHAnsi" w:cstheme="minorHAnsi"/>
          <w:szCs w:val="21"/>
        </w:rPr>
        <w:t>员工公民组织行为</w:t>
      </w:r>
      <w:r w:rsidRPr="0008396C">
        <w:rPr>
          <w:rFonts w:asciiTheme="minorHAnsi" w:hAnsiTheme="minorHAnsi" w:cstheme="minorHAnsi"/>
          <w:szCs w:val="21"/>
        </w:rPr>
        <w:t xml:space="preserve">[10 </w:t>
      </w:r>
      <w:r w:rsidRPr="0008396C">
        <w:rPr>
          <w:rFonts w:asciiTheme="minorHAnsi" w:hAnsiTheme="minorHAnsi" w:cstheme="minorHAnsi"/>
          <w:szCs w:val="21"/>
        </w:rPr>
        <w:t>项</w:t>
      </w:r>
      <w:r w:rsidRPr="0008396C">
        <w:rPr>
          <w:rFonts w:asciiTheme="minorHAnsi" w:hAnsiTheme="minorHAnsi" w:cstheme="minorHAnsi"/>
          <w:szCs w:val="21"/>
        </w:rPr>
        <w:t>; Spector, Bauer, &amp; Fox, 2010]</w:t>
      </w:r>
      <w:r w:rsidRPr="0008396C">
        <w:rPr>
          <w:rFonts w:asciiTheme="minorHAnsi" w:hAnsiTheme="minorHAnsi" w:cstheme="minorHAnsi"/>
          <w:szCs w:val="21"/>
        </w:rPr>
        <w:t>）和区分效度（如大五人格，每项特质两题；</w:t>
      </w:r>
      <w:r w:rsidRPr="0008396C">
        <w:rPr>
          <w:rFonts w:asciiTheme="minorHAnsi" w:hAnsiTheme="minorHAnsi" w:cstheme="minorHAnsi"/>
          <w:szCs w:val="21"/>
        </w:rPr>
        <w:t xml:space="preserve">Gosling, </w:t>
      </w:r>
      <w:proofErr w:type="spellStart"/>
      <w:r w:rsidRPr="0008396C">
        <w:rPr>
          <w:rFonts w:asciiTheme="minorHAnsi" w:hAnsiTheme="minorHAnsi" w:cstheme="minorHAnsi"/>
          <w:szCs w:val="21"/>
        </w:rPr>
        <w:t>Rentfrow</w:t>
      </w:r>
      <w:proofErr w:type="spellEnd"/>
      <w:r w:rsidRPr="0008396C">
        <w:rPr>
          <w:rFonts w:asciiTheme="minorHAnsi" w:hAnsiTheme="minorHAnsi" w:cstheme="minorHAnsi"/>
          <w:szCs w:val="21"/>
        </w:rPr>
        <w:t>, &amp; Swann, 2003]</w:t>
      </w:r>
      <w:r w:rsidRPr="0008396C">
        <w:rPr>
          <w:rFonts w:asciiTheme="minorHAnsi" w:hAnsiTheme="minorHAnsi" w:cstheme="minorHAnsi"/>
          <w:szCs w:val="21"/>
        </w:rPr>
        <w:t>）还同时让他们完成其他的量表。对</w:t>
      </w:r>
      <w:r w:rsidRPr="0008396C">
        <w:rPr>
          <w:rFonts w:asciiTheme="minorHAnsi" w:hAnsiTheme="minorHAnsi" w:cstheme="minorHAnsi"/>
          <w:szCs w:val="21"/>
        </w:rPr>
        <w:t>11</w:t>
      </w:r>
      <w:r w:rsidRPr="0008396C">
        <w:rPr>
          <w:rFonts w:asciiTheme="minorHAnsi" w:hAnsiTheme="minorHAnsi" w:cstheme="minorHAnsi"/>
          <w:szCs w:val="21"/>
        </w:rPr>
        <w:t>项题量表进行探索性因子分析，保留负载超过</w:t>
      </w:r>
      <w:r w:rsidRPr="0008396C">
        <w:rPr>
          <w:rFonts w:asciiTheme="minorHAnsi" w:hAnsiTheme="minorHAnsi" w:cstheme="minorHAnsi"/>
          <w:szCs w:val="21"/>
        </w:rPr>
        <w:t>50%</w:t>
      </w:r>
      <w:r w:rsidRPr="0008396C">
        <w:rPr>
          <w:rFonts w:asciiTheme="minorHAnsi" w:hAnsiTheme="minorHAnsi" w:cstheme="minorHAnsi"/>
          <w:szCs w:val="21"/>
        </w:rPr>
        <w:t>的</w:t>
      </w:r>
      <w:r w:rsidRPr="0008396C">
        <w:rPr>
          <w:rFonts w:asciiTheme="minorHAnsi" w:hAnsiTheme="minorHAnsi" w:cstheme="minorHAnsi"/>
          <w:szCs w:val="21"/>
        </w:rPr>
        <w:t>6</w:t>
      </w:r>
      <w:r w:rsidRPr="0008396C">
        <w:rPr>
          <w:rFonts w:asciiTheme="minorHAnsi" w:hAnsiTheme="minorHAnsi" w:cstheme="minorHAnsi"/>
          <w:szCs w:val="21"/>
        </w:rPr>
        <w:t>个项目的内部一致性为</w:t>
      </w:r>
      <w:r w:rsidRPr="0008396C">
        <w:rPr>
          <w:rFonts w:asciiTheme="minorHAnsi" w:hAnsiTheme="minorHAnsi" w:cstheme="minorHAnsi"/>
          <w:szCs w:val="21"/>
        </w:rPr>
        <w:t>0.90</w:t>
      </w:r>
      <w:r w:rsidRPr="0008396C">
        <w:rPr>
          <w:rFonts w:asciiTheme="minorHAnsi" w:hAnsiTheme="minorHAnsi" w:cstheme="minorHAnsi"/>
          <w:szCs w:val="21"/>
        </w:rPr>
        <w:t>。对于聚合效度，与公民组织行为的相关系数</w:t>
      </w:r>
      <w:r w:rsidRPr="0008396C">
        <w:rPr>
          <w:rFonts w:asciiTheme="minorHAnsi" w:hAnsiTheme="minorHAnsi" w:cstheme="minorHAnsi"/>
          <w:szCs w:val="21"/>
        </w:rPr>
        <w:t>(r =–.35, p &lt; .01</w:t>
      </w:r>
      <w:r w:rsidRPr="0008396C">
        <w:rPr>
          <w:rFonts w:asciiTheme="minorHAnsi" w:hAnsiTheme="minorHAnsi" w:cstheme="minorHAnsi"/>
          <w:szCs w:val="21"/>
        </w:rPr>
        <w:t>，至于区分效度，与大五人格的相关性如下（经验开放性</w:t>
      </w:r>
      <w:r w:rsidRPr="0008396C">
        <w:rPr>
          <w:rFonts w:asciiTheme="minorHAnsi" w:hAnsiTheme="minorHAnsi" w:cstheme="minorHAnsi"/>
          <w:szCs w:val="21"/>
        </w:rPr>
        <w:t xml:space="preserve">, r =.13, ns; conscientiousness, r = .13, ns; </w:t>
      </w:r>
      <w:r w:rsidRPr="0008396C">
        <w:rPr>
          <w:rFonts w:asciiTheme="minorHAnsi" w:hAnsiTheme="minorHAnsi" w:cstheme="minorHAnsi"/>
          <w:szCs w:val="21"/>
        </w:rPr>
        <w:t>外向性</w:t>
      </w:r>
      <w:r w:rsidRPr="0008396C">
        <w:rPr>
          <w:rFonts w:asciiTheme="minorHAnsi" w:hAnsiTheme="minorHAnsi" w:cstheme="minorHAnsi"/>
          <w:szCs w:val="21"/>
        </w:rPr>
        <w:t>, r = –.08, ns; agreeableness, r =.16, p &lt; .05; neuroticism, r =–.05, ns</w:t>
      </w:r>
      <w:r w:rsidRPr="0008396C">
        <w:rPr>
          <w:rFonts w:asciiTheme="minorHAnsi" w:hAnsiTheme="minorHAnsi" w:cstheme="minorHAnsi"/>
          <w:szCs w:val="21"/>
        </w:rPr>
        <w:t>）。最后得到</w:t>
      </w:r>
      <w:proofErr w:type="gramStart"/>
      <w:r w:rsidRPr="0008396C">
        <w:rPr>
          <w:rFonts w:asciiTheme="minorHAnsi" w:hAnsiTheme="minorHAnsi" w:cstheme="minorHAnsi"/>
          <w:szCs w:val="21"/>
        </w:rPr>
        <w:t>6</w:t>
      </w:r>
      <w:r w:rsidRPr="0008396C">
        <w:rPr>
          <w:rFonts w:asciiTheme="minorHAnsi" w:hAnsiTheme="minorHAnsi" w:cstheme="minorHAnsi"/>
          <w:szCs w:val="21"/>
        </w:rPr>
        <w:t>个题项的</w:t>
      </w:r>
      <w:proofErr w:type="gramEnd"/>
      <w:r w:rsidRPr="0008396C">
        <w:rPr>
          <w:rFonts w:asciiTheme="minorHAnsi" w:hAnsiTheme="minorHAnsi" w:cstheme="minorHAnsi"/>
          <w:szCs w:val="21"/>
        </w:rPr>
        <w:t>SSR</w:t>
      </w:r>
      <w:r w:rsidRPr="0008396C">
        <w:rPr>
          <w:rFonts w:asciiTheme="minorHAnsi" w:hAnsiTheme="minorHAnsi" w:cstheme="minorHAnsi"/>
          <w:szCs w:val="21"/>
        </w:rPr>
        <w:t>量表。</w:t>
      </w:r>
    </w:p>
    <w:p w:rsidR="0008396C" w:rsidRPr="0008396C" w:rsidRDefault="0008396C">
      <w:pPr>
        <w:spacing w:line="312" w:lineRule="auto"/>
        <w:ind w:firstLineChars="200" w:firstLine="420"/>
        <w:rPr>
          <w:rFonts w:asciiTheme="minorHAnsi" w:hAnsiTheme="minorHAnsi" w:cstheme="minorHAnsi"/>
          <w:szCs w:val="21"/>
        </w:rPr>
      </w:pPr>
    </w:p>
    <w:p w:rsidR="00000000" w:rsidRPr="0008396C" w:rsidRDefault="00EC39E4">
      <w:pPr>
        <w:spacing w:line="312" w:lineRule="auto"/>
        <w:rPr>
          <w:rFonts w:asciiTheme="minorHAnsi" w:hAnsiTheme="minorHAnsi" w:cstheme="minorHAnsi"/>
          <w:szCs w:val="21"/>
        </w:rPr>
      </w:pPr>
      <w:r w:rsidRPr="0008396C">
        <w:rPr>
          <w:rFonts w:asciiTheme="minorHAnsi" w:eastAsia="黑体" w:hAnsiTheme="minorHAnsi" w:cstheme="minorHAnsi"/>
          <w:sz w:val="30"/>
          <w:szCs w:val="30"/>
        </w:rPr>
        <w:t>量表</w:t>
      </w:r>
    </w:p>
    <w:p w:rsidR="00000000" w:rsidRPr="0008396C" w:rsidRDefault="00EC39E4" w:rsidP="00811C3F">
      <w:pPr>
        <w:spacing w:line="312" w:lineRule="auto"/>
        <w:ind w:firstLineChars="200" w:firstLine="420"/>
        <w:rPr>
          <w:rFonts w:asciiTheme="minorHAnsi" w:hAnsiTheme="minorHAnsi" w:cstheme="minorHAnsi"/>
          <w:szCs w:val="21"/>
        </w:rPr>
      </w:pPr>
      <w:r w:rsidRPr="0008396C">
        <w:rPr>
          <w:rFonts w:asciiTheme="minorHAnsi" w:hAnsiTheme="minorHAnsi" w:cstheme="minorHAnsi"/>
          <w:szCs w:val="21"/>
        </w:rPr>
        <w:t>请您根据自己</w:t>
      </w:r>
      <w:r w:rsidR="00811C3F" w:rsidRPr="0008396C">
        <w:rPr>
          <w:rFonts w:asciiTheme="minorHAnsi" w:hAnsiTheme="minorHAnsi" w:cstheme="minorHAnsi"/>
          <w:szCs w:val="21"/>
        </w:rPr>
        <w:t>总体感受和体会（即通常情况下的感受，而非今天的感受），对</w:t>
      </w:r>
      <w:r w:rsidRPr="0008396C">
        <w:rPr>
          <w:rFonts w:asciiTheme="minorHAnsi" w:hAnsiTheme="minorHAnsi" w:cstheme="minorHAnsi"/>
          <w:szCs w:val="21"/>
        </w:rPr>
        <w:t>下面</w:t>
      </w:r>
      <w:r w:rsidR="00811C3F" w:rsidRPr="0008396C">
        <w:rPr>
          <w:rFonts w:asciiTheme="minorHAnsi" w:hAnsiTheme="minorHAnsi" w:cstheme="minorHAnsi"/>
          <w:szCs w:val="21"/>
        </w:rPr>
        <w:t>6</w:t>
      </w:r>
      <w:r w:rsidRPr="0008396C">
        <w:rPr>
          <w:rFonts w:asciiTheme="minorHAnsi" w:hAnsiTheme="minorHAnsi" w:cstheme="minorHAnsi"/>
          <w:szCs w:val="21"/>
        </w:rPr>
        <w:t>项描述</w:t>
      </w:r>
      <w:r w:rsidR="00811C3F" w:rsidRPr="0008396C">
        <w:rPr>
          <w:rFonts w:asciiTheme="minorHAnsi" w:hAnsiTheme="minorHAnsi" w:cstheme="minorHAnsi"/>
          <w:szCs w:val="21"/>
        </w:rPr>
        <w:t>进行</w:t>
      </w:r>
      <w:r w:rsidRPr="0008396C">
        <w:rPr>
          <w:rFonts w:asciiTheme="minorHAnsi" w:hAnsiTheme="minorHAnsi" w:cstheme="minorHAnsi"/>
          <w:szCs w:val="21"/>
        </w:rPr>
        <w:t>评价和判断，并在最符合的数字上划</w:t>
      </w:r>
      <w:r w:rsidRPr="0008396C">
        <w:rPr>
          <w:rFonts w:asciiTheme="minorHAnsi" w:hAnsiTheme="minorHAnsi" w:cstheme="minorHAnsi"/>
          <w:szCs w:val="21"/>
        </w:rPr>
        <w:t>○</w:t>
      </w:r>
      <w:r w:rsidRPr="0008396C">
        <w:rPr>
          <w:rFonts w:asciiTheme="minorHAnsi" w:hAnsiTheme="minorHAnsi" w:cstheme="minorHAnsi"/>
          <w:szCs w:val="21"/>
        </w:rPr>
        <w:t>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18"/>
        <w:gridCol w:w="1644"/>
        <w:gridCol w:w="1645"/>
        <w:gridCol w:w="1644"/>
        <w:gridCol w:w="148"/>
        <w:gridCol w:w="299"/>
        <w:gridCol w:w="299"/>
        <w:gridCol w:w="300"/>
        <w:gridCol w:w="299"/>
        <w:gridCol w:w="300"/>
      </w:tblGrid>
      <w:tr w:rsidR="00000000" w:rsidRPr="0008396C">
        <w:tc>
          <w:tcPr>
            <w:tcW w:w="1644" w:type="dxa"/>
            <w:gridSpan w:val="2"/>
            <w:tcBorders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8396C">
              <w:rPr>
                <w:rFonts w:asciiTheme="minorHAnsi" w:hAnsiTheme="minorHAnsi" w:cstheme="minorHAnsi"/>
                <w:b/>
              </w:rPr>
              <w:t>非常不同意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8396C">
              <w:rPr>
                <w:rFonts w:asciiTheme="minorHAnsi" w:hAnsiTheme="minorHAnsi" w:cstheme="minorHAnsi"/>
                <w:b/>
              </w:rPr>
              <w:t>比较不同意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8396C">
              <w:rPr>
                <w:rFonts w:asciiTheme="minorHAnsi" w:hAnsiTheme="minorHAnsi" w:cstheme="minorHAnsi"/>
                <w:b/>
              </w:rPr>
              <w:t>中立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8396C">
              <w:rPr>
                <w:rFonts w:asciiTheme="minorHAnsi" w:hAnsiTheme="minorHAnsi" w:cstheme="minorHAnsi"/>
                <w:b/>
              </w:rPr>
              <w:t>比较同意</w:t>
            </w:r>
          </w:p>
        </w:tc>
        <w:tc>
          <w:tcPr>
            <w:tcW w:w="1645" w:type="dxa"/>
            <w:gridSpan w:val="6"/>
            <w:tcBorders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8396C">
              <w:rPr>
                <w:rFonts w:asciiTheme="minorHAnsi" w:hAnsiTheme="minorHAnsi" w:cstheme="minorHAnsi"/>
                <w:b/>
              </w:rPr>
              <w:t>非常同意</w:t>
            </w:r>
          </w:p>
        </w:tc>
      </w:tr>
      <w:tr w:rsidR="00000000" w:rsidRPr="0008396C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0839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0839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08396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08396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08396C">
              <w:rPr>
                <w:rFonts w:asciiTheme="minorHAnsi" w:hAnsiTheme="minorHAnsi" w:cstheme="minorHAnsi"/>
              </w:rPr>
              <w:t>5</w:t>
            </w:r>
          </w:p>
        </w:tc>
      </w:tr>
      <w:tr w:rsidR="00000000" w:rsidRPr="0008396C">
        <w:tc>
          <w:tcPr>
            <w:tcW w:w="822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theme="minorHAnsi"/>
                <w:b/>
                <w:szCs w:val="21"/>
              </w:rPr>
            </w:pPr>
          </w:p>
        </w:tc>
      </w:tr>
      <w:tr w:rsidR="00000000" w:rsidRPr="0008396C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Pr="0008396C" w:rsidRDefault="00811C3F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 xml:space="preserve">I expect my subordinates to be willing to work around the clock, if necessary.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  <w:tr w:rsidR="00000000" w:rsidRPr="0008396C">
        <w:tc>
          <w:tcPr>
            <w:tcW w:w="426" w:type="dxa"/>
            <w:shd w:val="clear" w:color="auto" w:fill="E0E0E0"/>
            <w:vAlign w:val="center"/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>My best employees are those who are willing to keep working during their personal time at home.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  <w:tr w:rsidR="00000000" w:rsidRPr="0008396C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 xml:space="preserve">I expect employees to “go the extra mile,” even if that means working late at home.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  <w:tr w:rsidR="00000000" w:rsidRPr="0008396C">
        <w:tc>
          <w:tcPr>
            <w:tcW w:w="426" w:type="dxa"/>
            <w:shd w:val="clear" w:color="auto" w:fill="E0E0E0"/>
            <w:vAlign w:val="center"/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 xml:space="preserve">I communicate with subordinates during non-work time. 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  <w:tr w:rsidR="00000000" w:rsidRPr="0008396C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9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 xml:space="preserve">The more productive employees work during non-work time. 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  <w:tr w:rsidR="00000000" w:rsidRPr="0008396C">
        <w:tc>
          <w:tcPr>
            <w:tcW w:w="426" w:type="dxa"/>
            <w:shd w:val="clear" w:color="auto" w:fill="E0E0E0"/>
            <w:vAlign w:val="center"/>
          </w:tcPr>
          <w:p w:rsidR="00000000" w:rsidRPr="0008396C" w:rsidRDefault="00EC39E4">
            <w:pPr>
              <w:spacing w:line="312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8396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299" w:type="dxa"/>
            <w:gridSpan w:val="5"/>
            <w:shd w:val="clear" w:color="auto" w:fill="E0E0E0"/>
            <w:vAlign w:val="bottom"/>
          </w:tcPr>
          <w:p w:rsidR="00000000" w:rsidRPr="0008396C" w:rsidRDefault="0085042D" w:rsidP="00811C3F">
            <w:pPr>
              <w:rPr>
                <w:rFonts w:asciiTheme="minorHAnsi" w:hAnsiTheme="minorHAnsi" w:cstheme="minorHAnsi"/>
                <w:szCs w:val="21"/>
              </w:rPr>
            </w:pPr>
            <w:r w:rsidRPr="0008396C">
              <w:rPr>
                <w:rFonts w:asciiTheme="minorHAnsi" w:hAnsiTheme="minorHAnsi" w:cstheme="minorHAnsi"/>
                <w:szCs w:val="21"/>
              </w:rPr>
              <w:t xml:space="preserve">The ideal employee is someone who is available 24 hours a day. 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1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2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3</w:t>
            </w:r>
          </w:p>
        </w:tc>
        <w:tc>
          <w:tcPr>
            <w:tcW w:w="299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4</w:t>
            </w:r>
          </w:p>
        </w:tc>
        <w:tc>
          <w:tcPr>
            <w:tcW w:w="300" w:type="dxa"/>
            <w:shd w:val="clear" w:color="auto" w:fill="E0E0E0"/>
            <w:vAlign w:val="center"/>
          </w:tcPr>
          <w:p w:rsidR="00000000" w:rsidRPr="0008396C" w:rsidRDefault="00EC39E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08396C">
              <w:rPr>
                <w:rFonts w:asciiTheme="minorHAnsi" w:hAnsiTheme="minorHAnsi" w:cstheme="minorHAnsi"/>
                <w:b/>
                <w:szCs w:val="21"/>
              </w:rPr>
              <w:t>5</w:t>
            </w:r>
          </w:p>
        </w:tc>
      </w:tr>
    </w:tbl>
    <w:p w:rsidR="00811C3F" w:rsidRPr="0008396C" w:rsidRDefault="00811C3F">
      <w:pPr>
        <w:spacing w:line="312" w:lineRule="auto"/>
        <w:rPr>
          <w:rFonts w:asciiTheme="minorHAnsi" w:eastAsia="黑体" w:hAnsiTheme="minorHAnsi" w:cstheme="minorHAnsi"/>
          <w:sz w:val="30"/>
          <w:szCs w:val="30"/>
        </w:rPr>
      </w:pPr>
    </w:p>
    <w:p w:rsidR="00000000" w:rsidRPr="0008396C" w:rsidRDefault="00EC39E4">
      <w:pPr>
        <w:spacing w:line="312" w:lineRule="auto"/>
        <w:rPr>
          <w:rFonts w:asciiTheme="minorHAnsi" w:eastAsia="黑体" w:hAnsiTheme="minorHAnsi" w:cstheme="minorHAnsi"/>
          <w:sz w:val="30"/>
          <w:szCs w:val="30"/>
        </w:rPr>
      </w:pPr>
      <w:r w:rsidRPr="0008396C">
        <w:rPr>
          <w:rFonts w:asciiTheme="minorHAnsi" w:eastAsia="黑体" w:hAnsiTheme="minorHAnsi" w:cstheme="minorHAnsi"/>
          <w:sz w:val="30"/>
          <w:szCs w:val="30"/>
        </w:rPr>
        <w:t>计分方法</w:t>
      </w:r>
    </w:p>
    <w:p w:rsidR="00000000" w:rsidRPr="0008396C" w:rsidRDefault="00811C3F">
      <w:pPr>
        <w:spacing w:line="312" w:lineRule="auto"/>
        <w:ind w:firstLineChars="200" w:firstLine="420"/>
        <w:rPr>
          <w:rFonts w:asciiTheme="minorHAnsi" w:hAnsiTheme="minorHAnsi" w:cstheme="minorHAnsi"/>
        </w:rPr>
      </w:pPr>
      <w:r w:rsidRPr="0008396C">
        <w:rPr>
          <w:rFonts w:asciiTheme="minorHAnsi" w:hAnsiTheme="minorHAnsi" w:cstheme="minorHAnsi"/>
          <w:szCs w:val="21"/>
        </w:rPr>
        <w:t>工作解脱的主管支持量表</w:t>
      </w:r>
      <w:r w:rsidR="00EC39E4" w:rsidRPr="0008396C">
        <w:rPr>
          <w:rFonts w:asciiTheme="minorHAnsi" w:hAnsiTheme="minorHAnsi" w:cstheme="minorHAnsi"/>
          <w:szCs w:val="21"/>
        </w:rPr>
        <w:t>共</w:t>
      </w:r>
      <w:r w:rsidRPr="0008396C">
        <w:rPr>
          <w:rFonts w:asciiTheme="minorHAnsi" w:hAnsiTheme="minorHAnsi" w:cstheme="minorHAnsi"/>
          <w:szCs w:val="21"/>
        </w:rPr>
        <w:t>6</w:t>
      </w:r>
      <w:r w:rsidR="00EC39E4" w:rsidRPr="0008396C">
        <w:rPr>
          <w:rFonts w:asciiTheme="minorHAnsi" w:hAnsiTheme="minorHAnsi" w:cstheme="minorHAnsi"/>
          <w:szCs w:val="21"/>
        </w:rPr>
        <w:t>道题，</w:t>
      </w:r>
      <w:r w:rsidR="003663D4" w:rsidRPr="0008396C">
        <w:rPr>
          <w:rFonts w:asciiTheme="minorHAnsi" w:hAnsiTheme="minorHAnsi" w:cstheme="minorHAnsi"/>
          <w:szCs w:val="21"/>
        </w:rPr>
        <w:t>都</w:t>
      </w:r>
      <w:r w:rsidR="00A64C58" w:rsidRPr="0008396C">
        <w:rPr>
          <w:rFonts w:asciiTheme="minorHAnsi" w:hAnsiTheme="minorHAnsi" w:cstheme="minorHAnsi"/>
          <w:szCs w:val="21"/>
        </w:rPr>
        <w:t>需</w:t>
      </w:r>
      <w:r w:rsidR="003663D4" w:rsidRPr="0008396C">
        <w:rPr>
          <w:rFonts w:asciiTheme="minorHAnsi" w:hAnsiTheme="minorHAnsi" w:cstheme="minorHAnsi"/>
          <w:szCs w:val="21"/>
        </w:rPr>
        <w:t>反向计分，</w:t>
      </w:r>
      <w:r w:rsidR="00EC39E4" w:rsidRPr="0008396C">
        <w:rPr>
          <w:rFonts w:asciiTheme="minorHAnsi" w:hAnsiTheme="minorHAnsi" w:cstheme="minorHAnsi"/>
          <w:szCs w:val="21"/>
        </w:rPr>
        <w:t>可以计算题目的总分或平均分。</w:t>
      </w:r>
    </w:p>
    <w:p w:rsidR="00000000" w:rsidRPr="0008396C" w:rsidRDefault="00EC39E4">
      <w:pPr>
        <w:spacing w:line="312" w:lineRule="auto"/>
        <w:ind w:firstLineChars="200" w:firstLine="420"/>
        <w:rPr>
          <w:rFonts w:asciiTheme="minorHAnsi" w:hAnsiTheme="minorHAnsi" w:cstheme="minorHAnsi"/>
        </w:rPr>
      </w:pPr>
    </w:p>
    <w:p w:rsidR="00000000" w:rsidRPr="0008396C" w:rsidRDefault="00EC39E4">
      <w:pPr>
        <w:spacing w:line="312" w:lineRule="auto"/>
        <w:rPr>
          <w:rFonts w:asciiTheme="minorHAnsi" w:eastAsia="黑体" w:hAnsiTheme="minorHAnsi" w:cstheme="minorHAnsi"/>
          <w:sz w:val="30"/>
          <w:szCs w:val="30"/>
        </w:rPr>
      </w:pPr>
      <w:r w:rsidRPr="0008396C">
        <w:rPr>
          <w:rFonts w:asciiTheme="minorHAnsi" w:eastAsia="黑体" w:hAnsiTheme="minorHAnsi" w:cstheme="minorHAnsi"/>
          <w:sz w:val="30"/>
          <w:szCs w:val="30"/>
        </w:rPr>
        <w:t>量表出处</w:t>
      </w:r>
    </w:p>
    <w:p w:rsidR="00811C3F" w:rsidRPr="0008396C" w:rsidRDefault="00811C3F">
      <w:pPr>
        <w:widowControl/>
        <w:spacing w:line="312" w:lineRule="auto"/>
        <w:ind w:firstLine="420"/>
        <w:jc w:val="left"/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</w:pPr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 xml:space="preserve">Bennett, A. A., Gabriel, A. S., Calderwood, C., </w:t>
      </w:r>
      <w:proofErr w:type="spellStart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>Dahling</w:t>
      </w:r>
      <w:proofErr w:type="spellEnd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 xml:space="preserve">, J. J., &amp; </w:t>
      </w:r>
      <w:proofErr w:type="spellStart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>Trougakos</w:t>
      </w:r>
      <w:proofErr w:type="spellEnd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 xml:space="preserve">, J. P. (2016). Better together? </w:t>
      </w:r>
      <w:proofErr w:type="gramStart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>examining</w:t>
      </w:r>
      <w:proofErr w:type="gramEnd"/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 xml:space="preserve"> profiles of employee recovery experiences. </w:t>
      </w:r>
      <w:r w:rsidRPr="0008396C">
        <w:rPr>
          <w:rFonts w:asciiTheme="minorHAnsi" w:hAnsiTheme="minorHAnsi" w:cstheme="minorHAnsi"/>
          <w:i/>
          <w:iCs/>
          <w:color w:val="000000"/>
          <w:kern w:val="0"/>
          <w:szCs w:val="21"/>
          <w:shd w:val="clear" w:color="auto" w:fill="FFFFFF"/>
        </w:rPr>
        <w:t>Journal of Applied Psychology</w:t>
      </w:r>
      <w:r w:rsidRPr="0008396C"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  <w:t>. Vol. 101, No. 12, 1635–1654</w:t>
      </w:r>
    </w:p>
    <w:p w:rsidR="00000000" w:rsidRPr="0008396C" w:rsidRDefault="00EC39E4">
      <w:pPr>
        <w:spacing w:line="400" w:lineRule="atLeast"/>
        <w:rPr>
          <w:rFonts w:asciiTheme="minorHAnsi" w:hAnsiTheme="minorHAnsi" w:cstheme="minorHAnsi"/>
          <w:color w:val="000000"/>
          <w:kern w:val="0"/>
          <w:szCs w:val="21"/>
          <w:shd w:val="clear" w:color="auto" w:fill="FFFFFF"/>
        </w:rPr>
      </w:pPr>
    </w:p>
    <w:p w:rsidR="00000000" w:rsidRPr="0008396C" w:rsidRDefault="00EC39E4">
      <w:pPr>
        <w:spacing w:line="400" w:lineRule="atLeast"/>
        <w:ind w:firstLine="420"/>
        <w:rPr>
          <w:rFonts w:asciiTheme="minorHAnsi" w:eastAsia="黑体" w:hAnsiTheme="minorHAnsi" w:cstheme="minorHAnsi"/>
          <w:color w:val="FF0000"/>
          <w:sz w:val="24"/>
        </w:rPr>
      </w:pPr>
      <w:r w:rsidRPr="0008396C">
        <w:rPr>
          <w:rFonts w:asciiTheme="minorHAnsi" w:eastAsia="黑体" w:hAnsiTheme="minorHAnsi" w:cstheme="minorHAnsi"/>
          <w:color w:val="FF0000"/>
          <w:sz w:val="24"/>
        </w:rPr>
        <w:t>OBHRM</w:t>
      </w:r>
      <w:r w:rsidRPr="0008396C">
        <w:rPr>
          <w:rFonts w:asciiTheme="minorHAnsi" w:eastAsia="黑体" w:hAnsiTheme="minorHAnsi" w:cstheme="minorHAnsi"/>
          <w:color w:val="FF0000"/>
          <w:sz w:val="24"/>
        </w:rPr>
        <w:t>（</w:t>
      </w:r>
      <w:hyperlink r:id="rId7" w:history="1">
        <w:r w:rsidRPr="0008396C">
          <w:rPr>
            <w:rStyle w:val="a3"/>
            <w:rFonts w:asciiTheme="minorHAnsi" w:eastAsia="黑体" w:hAnsiTheme="minorHAnsi" w:cstheme="minorHAnsi"/>
            <w:sz w:val="24"/>
          </w:rPr>
          <w:t>www.obhrm.net</w:t>
        </w:r>
      </w:hyperlink>
      <w:r w:rsidRPr="0008396C">
        <w:rPr>
          <w:rFonts w:asciiTheme="minorHAnsi" w:eastAsia="黑体" w:hAnsiTheme="minorHAnsi" w:cstheme="minorHAnsi"/>
          <w:color w:val="FF0000"/>
          <w:sz w:val="24"/>
        </w:rPr>
        <w:t>）整理，</w:t>
      </w:r>
      <w:proofErr w:type="gramStart"/>
      <w:r w:rsidRPr="0008396C">
        <w:rPr>
          <w:rFonts w:asciiTheme="minorHAnsi" w:eastAsia="黑体" w:hAnsiTheme="minorHAnsi" w:cstheme="minorHAnsi"/>
          <w:color w:val="FF0000"/>
          <w:sz w:val="24"/>
        </w:rPr>
        <w:t>供学者</w:t>
      </w:r>
      <w:proofErr w:type="gramEnd"/>
      <w:r w:rsidRPr="0008396C">
        <w:rPr>
          <w:rFonts w:asciiTheme="minorHAnsi" w:eastAsia="黑体" w:hAnsiTheme="minorHAnsi" w:cstheme="minorHAnsi"/>
          <w:color w:val="FF0000"/>
          <w:sz w:val="24"/>
        </w:rPr>
        <w:t>在学术研究中使用，商业</w:t>
      </w:r>
      <w:proofErr w:type="gramStart"/>
      <w:r w:rsidRPr="0008396C">
        <w:rPr>
          <w:rFonts w:asciiTheme="minorHAnsi" w:eastAsia="黑体" w:hAnsiTheme="minorHAnsi" w:cstheme="minorHAnsi"/>
          <w:color w:val="FF0000"/>
          <w:sz w:val="24"/>
        </w:rPr>
        <w:t>使用请</w:t>
      </w:r>
      <w:proofErr w:type="gramEnd"/>
      <w:r w:rsidRPr="0008396C">
        <w:rPr>
          <w:rFonts w:asciiTheme="minorHAnsi" w:eastAsia="黑体" w:hAnsiTheme="minorHAnsi" w:cstheme="minorHAnsi"/>
          <w:color w:val="FF0000"/>
          <w:sz w:val="24"/>
        </w:rPr>
        <w:t>与原作者联系。为了尊重</w:t>
      </w:r>
      <w:r w:rsidRPr="0008396C">
        <w:rPr>
          <w:rFonts w:asciiTheme="minorHAnsi" w:eastAsia="黑体" w:hAnsiTheme="minorHAnsi" w:cstheme="minorHAnsi"/>
          <w:color w:val="FF0000"/>
          <w:sz w:val="24"/>
        </w:rPr>
        <w:t>作者的劳动成果，请规范引用，谢谢！</w:t>
      </w:r>
    </w:p>
    <w:p w:rsidR="00EC39E4" w:rsidRPr="0008396C" w:rsidRDefault="00EC39E4">
      <w:pPr>
        <w:widowControl/>
        <w:spacing w:line="312" w:lineRule="auto"/>
        <w:jc w:val="left"/>
        <w:rPr>
          <w:rFonts w:asciiTheme="minorHAnsi" w:hAnsiTheme="minorHAnsi" w:cstheme="minorHAnsi"/>
          <w:kern w:val="0"/>
          <w:szCs w:val="21"/>
        </w:rPr>
      </w:pPr>
    </w:p>
    <w:sectPr w:rsidR="00EC39E4" w:rsidRPr="0008396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E4" w:rsidRDefault="00EC39E4">
      <w:r>
        <w:separator/>
      </w:r>
    </w:p>
  </w:endnote>
  <w:endnote w:type="continuationSeparator" w:id="0">
    <w:p w:rsidR="00EC39E4" w:rsidRDefault="00EC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C39E4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E4" w:rsidRDefault="00EC39E4">
      <w:r>
        <w:separator/>
      </w:r>
    </w:p>
  </w:footnote>
  <w:footnote w:type="continuationSeparator" w:id="0">
    <w:p w:rsidR="00EC39E4" w:rsidRDefault="00EC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8396C"/>
    <w:rsid w:val="000B2B59"/>
    <w:rsid w:val="000E48B6"/>
    <w:rsid w:val="00102284"/>
    <w:rsid w:val="00105314"/>
    <w:rsid w:val="0011748B"/>
    <w:rsid w:val="001E4847"/>
    <w:rsid w:val="00217175"/>
    <w:rsid w:val="00220F76"/>
    <w:rsid w:val="00242EEA"/>
    <w:rsid w:val="00271B4C"/>
    <w:rsid w:val="002731E8"/>
    <w:rsid w:val="00287E7C"/>
    <w:rsid w:val="00297111"/>
    <w:rsid w:val="002C678D"/>
    <w:rsid w:val="002D2E96"/>
    <w:rsid w:val="002E577A"/>
    <w:rsid w:val="0034539C"/>
    <w:rsid w:val="003663D4"/>
    <w:rsid w:val="00377C68"/>
    <w:rsid w:val="003B2F3F"/>
    <w:rsid w:val="003D2430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56C40"/>
    <w:rsid w:val="004917C1"/>
    <w:rsid w:val="004A0EA8"/>
    <w:rsid w:val="004A12EF"/>
    <w:rsid w:val="004A19A8"/>
    <w:rsid w:val="004A408C"/>
    <w:rsid w:val="004B59A3"/>
    <w:rsid w:val="004E082F"/>
    <w:rsid w:val="004E76F3"/>
    <w:rsid w:val="00546C72"/>
    <w:rsid w:val="00564761"/>
    <w:rsid w:val="00590101"/>
    <w:rsid w:val="005A4A88"/>
    <w:rsid w:val="005B02A1"/>
    <w:rsid w:val="005B6B1A"/>
    <w:rsid w:val="005B6D39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C7108"/>
    <w:rsid w:val="006E51BB"/>
    <w:rsid w:val="006F0C4B"/>
    <w:rsid w:val="007213AF"/>
    <w:rsid w:val="00721930"/>
    <w:rsid w:val="00727E5F"/>
    <w:rsid w:val="0077440B"/>
    <w:rsid w:val="00792A65"/>
    <w:rsid w:val="007B3AF2"/>
    <w:rsid w:val="007B6B35"/>
    <w:rsid w:val="007D2123"/>
    <w:rsid w:val="00802AAB"/>
    <w:rsid w:val="00811C3F"/>
    <w:rsid w:val="0085042D"/>
    <w:rsid w:val="00853319"/>
    <w:rsid w:val="008625F3"/>
    <w:rsid w:val="00877D3D"/>
    <w:rsid w:val="00881C3F"/>
    <w:rsid w:val="00890543"/>
    <w:rsid w:val="008F2EC4"/>
    <w:rsid w:val="0091620D"/>
    <w:rsid w:val="009167F9"/>
    <w:rsid w:val="00922054"/>
    <w:rsid w:val="009265FE"/>
    <w:rsid w:val="00961901"/>
    <w:rsid w:val="009823C7"/>
    <w:rsid w:val="009863D0"/>
    <w:rsid w:val="009863D4"/>
    <w:rsid w:val="00995570"/>
    <w:rsid w:val="009B3A32"/>
    <w:rsid w:val="009C4FC7"/>
    <w:rsid w:val="009C6CDE"/>
    <w:rsid w:val="00A17FD7"/>
    <w:rsid w:val="00A20290"/>
    <w:rsid w:val="00A25881"/>
    <w:rsid w:val="00A27734"/>
    <w:rsid w:val="00A27E64"/>
    <w:rsid w:val="00A42E6A"/>
    <w:rsid w:val="00A64C58"/>
    <w:rsid w:val="00A95BAD"/>
    <w:rsid w:val="00AA4086"/>
    <w:rsid w:val="00AC67FF"/>
    <w:rsid w:val="00AD5595"/>
    <w:rsid w:val="00B2301D"/>
    <w:rsid w:val="00B2551B"/>
    <w:rsid w:val="00B47218"/>
    <w:rsid w:val="00B63041"/>
    <w:rsid w:val="00B66EB4"/>
    <w:rsid w:val="00B74719"/>
    <w:rsid w:val="00B91B1A"/>
    <w:rsid w:val="00B97137"/>
    <w:rsid w:val="00BA152D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91A94"/>
    <w:rsid w:val="00CA1031"/>
    <w:rsid w:val="00CA4BE8"/>
    <w:rsid w:val="00CB3259"/>
    <w:rsid w:val="00CB67D0"/>
    <w:rsid w:val="00CC0234"/>
    <w:rsid w:val="00CE0B06"/>
    <w:rsid w:val="00D14050"/>
    <w:rsid w:val="00D3356F"/>
    <w:rsid w:val="00D517C4"/>
    <w:rsid w:val="00D57D9A"/>
    <w:rsid w:val="00D6134C"/>
    <w:rsid w:val="00D82A89"/>
    <w:rsid w:val="00D92D23"/>
    <w:rsid w:val="00DA7E65"/>
    <w:rsid w:val="00DB216D"/>
    <w:rsid w:val="00DC4550"/>
    <w:rsid w:val="00E02741"/>
    <w:rsid w:val="00E04B9C"/>
    <w:rsid w:val="00E23DA9"/>
    <w:rsid w:val="00E45F29"/>
    <w:rsid w:val="00E6282F"/>
    <w:rsid w:val="00E70A47"/>
    <w:rsid w:val="00EC39E4"/>
    <w:rsid w:val="00EC660C"/>
    <w:rsid w:val="00EC7023"/>
    <w:rsid w:val="00EE3205"/>
    <w:rsid w:val="00EE6A7D"/>
    <w:rsid w:val="00EF4B89"/>
    <w:rsid w:val="00F22FAB"/>
    <w:rsid w:val="00F26F31"/>
    <w:rsid w:val="00F365FB"/>
    <w:rsid w:val="00F62C36"/>
    <w:rsid w:val="00F6310F"/>
    <w:rsid w:val="00F83FCB"/>
    <w:rsid w:val="00F95B5F"/>
    <w:rsid w:val="00FA1EBA"/>
    <w:rsid w:val="00FA6C38"/>
    <w:rsid w:val="00FD176B"/>
    <w:rsid w:val="00FF506B"/>
    <w:rsid w:val="00FF5CD7"/>
    <w:rsid w:val="27087FD4"/>
    <w:rsid w:val="2DD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B760A-F077-4E03-8956-26BD42CD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7DA0-2A1B-4D2A-9388-7A806FE2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3</cp:revision>
  <dcterms:created xsi:type="dcterms:W3CDTF">2016-12-16T04:44:00Z</dcterms:created>
  <dcterms:modified xsi:type="dcterms:W3CDTF">2016-12-16T05:13:00Z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