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1" w:rsidRPr="002B3FA5" w:rsidRDefault="006427D3">
      <w:pPr>
        <w:jc w:val="center"/>
        <w:rPr>
          <w:rFonts w:ascii="黑体" w:eastAsia="黑体" w:hAnsi="黑体" w:cstheme="minorHAnsi"/>
          <w:sz w:val="28"/>
        </w:rPr>
      </w:pPr>
      <w:r w:rsidRPr="002B3FA5">
        <w:rPr>
          <w:rFonts w:ascii="黑体" w:eastAsia="黑体" w:hAnsi="黑体" w:cstheme="minorHAnsi" w:hint="eastAsia"/>
          <w:sz w:val="28"/>
        </w:rPr>
        <w:t>应对策略</w:t>
      </w:r>
      <w:r w:rsidR="00986E70" w:rsidRPr="002B3FA5">
        <w:rPr>
          <w:rFonts w:ascii="黑体" w:eastAsia="黑体" w:hAnsi="黑体" w:cstheme="minorHAnsi"/>
          <w:sz w:val="28"/>
        </w:rPr>
        <w:t>（</w:t>
      </w:r>
      <w:r w:rsidR="004F2632" w:rsidRPr="002B3FA5">
        <w:rPr>
          <w:rFonts w:ascii="黑体" w:eastAsia="黑体" w:hAnsi="黑体" w:cstheme="minorHAnsi"/>
          <w:sz w:val="28"/>
        </w:rPr>
        <w:t>谢俊、严鸣</w:t>
      </w:r>
      <w:r w:rsidR="00986E70" w:rsidRPr="002B3FA5">
        <w:rPr>
          <w:rFonts w:ascii="黑体" w:eastAsia="黑体" w:hAnsi="黑体" w:cstheme="minorHAnsi"/>
          <w:sz w:val="28"/>
        </w:rPr>
        <w:t>等，2016）</w:t>
      </w:r>
    </w:p>
    <w:p w:rsidR="00A06981" w:rsidRPr="002B3FA5" w:rsidRDefault="00986E70">
      <w:pPr>
        <w:jc w:val="center"/>
        <w:rPr>
          <w:rFonts w:ascii="黑体" w:eastAsia="黑体" w:hAnsi="黑体" w:cstheme="minorHAnsi"/>
          <w:sz w:val="24"/>
        </w:rPr>
      </w:pPr>
      <w:r w:rsidRPr="002B3FA5">
        <w:rPr>
          <w:rFonts w:ascii="黑体" w:eastAsia="黑体" w:hAnsi="黑体" w:cstheme="minorHAnsi"/>
          <w:sz w:val="24"/>
        </w:rPr>
        <w:t>（</w:t>
      </w:r>
      <w:r w:rsidR="006427D3" w:rsidRPr="002B3FA5">
        <w:rPr>
          <w:rFonts w:ascii="黑体" w:eastAsia="黑体" w:hAnsi="黑体" w:cstheme="minorHAnsi"/>
          <w:sz w:val="24"/>
        </w:rPr>
        <w:t>Coping Strategies</w:t>
      </w:r>
      <w:r w:rsidRPr="002B3FA5">
        <w:rPr>
          <w:rFonts w:ascii="黑体" w:eastAsia="黑体" w:hAnsi="黑体" w:cstheme="minorHAnsi"/>
          <w:sz w:val="24"/>
        </w:rPr>
        <w:t>,</w:t>
      </w:r>
      <w:r w:rsidR="00EE7600" w:rsidRPr="002B3FA5">
        <w:rPr>
          <w:rFonts w:ascii="黑体" w:eastAsia="黑体" w:hAnsi="黑体" w:cstheme="minorHAnsi"/>
          <w:sz w:val="24"/>
        </w:rPr>
        <w:t xml:space="preserve"> </w:t>
      </w:r>
      <w:r w:rsidR="006427D3" w:rsidRPr="002B3FA5">
        <w:rPr>
          <w:rFonts w:ascii="黑体" w:eastAsia="黑体" w:hAnsi="黑体" w:cstheme="minorHAnsi" w:hint="eastAsia"/>
          <w:sz w:val="24"/>
        </w:rPr>
        <w:t>CS</w:t>
      </w:r>
      <w:r w:rsidRPr="002B3FA5">
        <w:rPr>
          <w:rFonts w:ascii="黑体" w:eastAsia="黑体" w:hAnsi="黑体" w:cstheme="minorHAnsi"/>
          <w:sz w:val="24"/>
        </w:rPr>
        <w:t>）</w:t>
      </w:r>
    </w:p>
    <w:p w:rsidR="00A06981" w:rsidRPr="004F2632" w:rsidRDefault="00A06981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401165" w:rsidRDefault="00401165" w:rsidP="00401165">
      <w:pPr>
        <w:spacing w:line="360" w:lineRule="auto"/>
        <w:ind w:firstLineChars="200" w:firstLine="420"/>
      </w:pPr>
      <w:r>
        <w:t>应对被认为是对于感知到的压力的反应</w:t>
      </w:r>
      <w:r>
        <w:rPr>
          <w:rFonts w:hint="eastAsia"/>
        </w:rPr>
        <w:t>，</w:t>
      </w:r>
      <w:r>
        <w:t>被定义为</w:t>
      </w:r>
      <w:r>
        <w:rPr>
          <w:rFonts w:hint="eastAsia"/>
        </w:rPr>
        <w:t>“持续地转变认知和行为以实现外部或者内部要求，这些要求往往是剥削或者超过个人所具有的资源。”</w:t>
      </w:r>
      <w:r>
        <w:t xml:space="preserve"> (Lazarus &amp; Folkman, 1984, p. 141)</w:t>
      </w:r>
      <w:r w:rsidRPr="009A0DFD">
        <w:rPr>
          <w:rFonts w:hint="eastAsia"/>
        </w:rPr>
        <w:t xml:space="preserve"> </w:t>
      </w:r>
      <w:r>
        <w:rPr>
          <w:rFonts w:hint="eastAsia"/>
        </w:rPr>
        <w:t>。分析对应对清单的回应是测量应对最常用的方法。三种应对方法在理论和实践中被重复提及：</w:t>
      </w:r>
      <w:r>
        <w:t>(a)</w:t>
      </w:r>
      <w:r>
        <w:rPr>
          <w:rFonts w:hint="eastAsia"/>
        </w:rPr>
        <w:t>情绪管理，通过避免处理问题来减少紧张感；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</w:rPr>
        <w:t>重新评估问题，重新评估事件带来的压力；</w:t>
      </w:r>
      <w:r>
        <w:t>(c)</w:t>
      </w:r>
      <w:r>
        <w:rPr>
          <w:rFonts w:hint="eastAsia"/>
        </w:rPr>
        <w:t>解决问题，积极直面问题</w:t>
      </w:r>
      <w:r>
        <w:t xml:space="preserve">(cf. Billings &amp; Moos, 1981; </w:t>
      </w:r>
      <w:proofErr w:type="spellStart"/>
      <w:r>
        <w:t>Holahan</w:t>
      </w:r>
      <w:proofErr w:type="spellEnd"/>
      <w:r>
        <w:t xml:space="preserve"> &amp;Moos, 1987;Menaghan, 1982).</w:t>
      </w:r>
      <w:r w:rsidRPr="009A0DFD">
        <w:rPr>
          <w:rFonts w:hint="eastAsia"/>
        </w:rPr>
        <w:t xml:space="preserve"> </w:t>
      </w:r>
      <w:r>
        <w:rPr>
          <w:rFonts w:hint="eastAsia"/>
        </w:rPr>
        <w:t>一些学者的研究也表明</w:t>
      </w:r>
      <w:r>
        <w:rPr>
          <w:rFonts w:hint="eastAsia"/>
        </w:rPr>
        <w:t xml:space="preserve">, </w:t>
      </w:r>
      <w:r>
        <w:rPr>
          <w:rFonts w:hint="eastAsia"/>
        </w:rPr>
        <w:t>积极应对策略将减轻压力源的负面影响</w:t>
      </w:r>
      <w:r>
        <w:rPr>
          <w:rFonts w:hint="eastAsia"/>
        </w:rPr>
        <w:t xml:space="preserve">, </w:t>
      </w:r>
      <w:r>
        <w:rPr>
          <w:rFonts w:hint="eastAsia"/>
        </w:rPr>
        <w:t>逃避应对策略则可能增强压力源的负面影响</w:t>
      </w:r>
      <w:r>
        <w:rPr>
          <w:rFonts w:hint="eastAsia"/>
        </w:rPr>
        <w:t>(Carver &amp; Connor-Smith, 2010)</w:t>
      </w:r>
      <w:r>
        <w:rPr>
          <w:rFonts w:hint="eastAsia"/>
        </w:rPr>
        <w:t>。</w:t>
      </w:r>
    </w:p>
    <w:p w:rsidR="006427D3" w:rsidRDefault="006427D3" w:rsidP="004F2632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401165" w:rsidRDefault="00401165" w:rsidP="0040116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01165">
        <w:rPr>
          <w:rFonts w:asciiTheme="minorHAnsi" w:eastAsiaTheme="minorEastAsia" w:hAnsiTheme="minorHAnsi" w:cstheme="minorHAnsi" w:hint="eastAsia"/>
          <w:szCs w:val="21"/>
        </w:rPr>
        <w:t>积极应对策略通常包含有效识别压力源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并采取有效方式应对及消除不利环境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其方式包括问题导向的应对、寻求支持、情绪调节及认知重构等</w:t>
      </w:r>
      <w:r w:rsidRPr="00401165">
        <w:rPr>
          <w:rFonts w:asciiTheme="minorHAnsi" w:eastAsiaTheme="minorEastAsia" w:hAnsiTheme="minorHAnsi" w:cstheme="minorHAnsi" w:hint="eastAsia"/>
          <w:szCs w:val="21"/>
        </w:rPr>
        <w:t>(Lazarus &amp; Folkman, 1987)</w:t>
      </w:r>
      <w:r w:rsidRPr="00401165">
        <w:rPr>
          <w:rFonts w:asciiTheme="minorHAnsi" w:eastAsiaTheme="minorEastAsia" w:hAnsiTheme="minorHAnsi" w:cstheme="minorHAnsi" w:hint="eastAsia"/>
          <w:szCs w:val="21"/>
        </w:rPr>
        <w:t>。在压力</w:t>
      </w:r>
      <w:proofErr w:type="gramStart"/>
      <w:r w:rsidRPr="00401165">
        <w:rPr>
          <w:rFonts w:asciiTheme="minorHAnsi" w:eastAsiaTheme="minorEastAsia" w:hAnsiTheme="minorHAnsi" w:cstheme="minorHAnsi" w:hint="eastAsia"/>
          <w:szCs w:val="21"/>
        </w:rPr>
        <w:t>源影响</w:t>
      </w:r>
      <w:proofErr w:type="gramEnd"/>
      <w:r w:rsidRPr="00401165">
        <w:rPr>
          <w:rFonts w:asciiTheme="minorHAnsi" w:eastAsiaTheme="minorEastAsia" w:hAnsiTheme="minorHAnsi" w:cstheme="minorHAnsi" w:hint="eastAsia"/>
          <w:szCs w:val="21"/>
        </w:rPr>
        <w:t>下</w:t>
      </w:r>
      <w:r w:rsidRPr="0040116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 w:hint="eastAsia"/>
          <w:szCs w:val="21"/>
        </w:rPr>
        <w:t>采用积极应对策略的个体将更能有效调节自身行为与情绪反应</w:t>
      </w:r>
      <w:r w:rsidRPr="00401165">
        <w:rPr>
          <w:rFonts w:asciiTheme="minorHAnsi" w:eastAsiaTheme="minorEastAsia" w:hAnsiTheme="minorHAnsi" w:cstheme="minorHAnsi" w:hint="eastAsia"/>
          <w:szCs w:val="21"/>
        </w:rPr>
        <w:t>(Carver &amp; Connor-Smith, 2010)</w:t>
      </w:r>
      <w:r w:rsidRPr="00401165">
        <w:rPr>
          <w:rFonts w:asciiTheme="minorHAnsi" w:eastAsiaTheme="minorEastAsia" w:hAnsiTheme="minorHAnsi" w:cstheme="minorHAnsi" w:hint="eastAsia"/>
          <w:szCs w:val="21"/>
        </w:rPr>
        <w:t>。</w:t>
      </w:r>
      <w:r w:rsidRPr="00401165">
        <w:rPr>
          <w:rFonts w:asciiTheme="minorHAnsi" w:eastAsiaTheme="minorEastAsia" w:hAnsiTheme="minorHAnsi" w:cstheme="minorHAnsi"/>
          <w:szCs w:val="21"/>
        </w:rPr>
        <w:t>逃避应对策略意味着个体采用心理或情感上逃避的方式</w:t>
      </w:r>
      <w:r w:rsidRPr="00401165">
        <w:rPr>
          <w:rFonts w:asciiTheme="minorHAnsi" w:eastAsiaTheme="minorEastAsia" w:hAnsiTheme="minorHAnsi" w:cstheme="minorHAnsi"/>
          <w:szCs w:val="21"/>
        </w:rPr>
        <w:t>(</w:t>
      </w:r>
      <w:r w:rsidRPr="00401165">
        <w:rPr>
          <w:rFonts w:asciiTheme="minorHAnsi" w:eastAsiaTheme="minorEastAsia" w:hAnsiTheme="minorHAnsi" w:cstheme="minorHAnsi"/>
          <w:szCs w:val="21"/>
        </w:rPr>
        <w:t>如避免思考工作、假想情况得到解决等</w:t>
      </w:r>
      <w:r w:rsidRPr="00401165">
        <w:rPr>
          <w:rFonts w:asciiTheme="minorHAnsi" w:eastAsiaTheme="minorEastAsia" w:hAnsiTheme="minorHAnsi" w:cstheme="minorHAnsi"/>
          <w:szCs w:val="21"/>
        </w:rPr>
        <w:t>)</w:t>
      </w:r>
      <w:r w:rsidRPr="00401165">
        <w:rPr>
          <w:rFonts w:asciiTheme="minorHAnsi" w:eastAsiaTheme="minorEastAsia" w:hAnsiTheme="minorHAnsi" w:cstheme="minorHAnsi"/>
          <w:szCs w:val="21"/>
        </w:rPr>
        <w:t>应对压力</w:t>
      </w:r>
      <w:r w:rsidRPr="00401165">
        <w:rPr>
          <w:rFonts w:asciiTheme="minorHAnsi" w:eastAsiaTheme="minorEastAsia" w:hAnsiTheme="minorHAnsi" w:cstheme="minorHAnsi"/>
          <w:szCs w:val="21"/>
        </w:rPr>
        <w:t xml:space="preserve">, </w:t>
      </w:r>
      <w:r w:rsidRPr="00401165">
        <w:rPr>
          <w:rFonts w:asciiTheme="minorHAnsi" w:eastAsiaTheme="minorEastAsia" w:hAnsiTheme="minorHAnsi" w:cstheme="minorHAnsi"/>
          <w:szCs w:val="21"/>
        </w:rPr>
        <w:t>甚至直接回避压力源。</w:t>
      </w:r>
    </w:p>
    <w:p w:rsidR="00401165" w:rsidRPr="00401165" w:rsidRDefault="00401165" w:rsidP="00401165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401165" w:rsidRDefault="00401165">
      <w:pPr>
        <w:spacing w:line="312" w:lineRule="auto"/>
        <w:ind w:firstLineChars="200" w:firstLine="420"/>
      </w:pPr>
      <w:r w:rsidRPr="00401165">
        <w:t>本研究采用方便抽样方式收集调查问卷</w:t>
      </w:r>
      <w:r w:rsidRPr="00401165">
        <w:t xml:space="preserve">, </w:t>
      </w:r>
      <w:r w:rsidRPr="00401165">
        <w:t>问卷发放对象为华南地区的</w:t>
      </w:r>
      <w:r w:rsidRPr="00401165">
        <w:t xml:space="preserve"> 9 </w:t>
      </w:r>
      <w:r w:rsidRPr="00401165">
        <w:t>家大型企业集团。这</w:t>
      </w:r>
      <w:r w:rsidRPr="00401165">
        <w:t xml:space="preserve"> 9 </w:t>
      </w:r>
      <w:r w:rsidRPr="00401165">
        <w:t>家大型企业集团分布在广州、深圳、东莞、佛山及惠州</w:t>
      </w:r>
      <w:r w:rsidRPr="00401165">
        <w:t xml:space="preserve">, </w:t>
      </w:r>
      <w:r w:rsidRPr="00401165">
        <w:t>涉及金融、机械制造、生物医药、建筑、服装、餐饮等多个行业。样本企业成立时间均为</w:t>
      </w:r>
      <w:r w:rsidRPr="00401165">
        <w:t xml:space="preserve"> 5 </w:t>
      </w:r>
      <w:r w:rsidRPr="00401165">
        <w:t>年以上</w:t>
      </w:r>
      <w:r>
        <w:t>,</w:t>
      </w:r>
      <w:r w:rsidRPr="00401165">
        <w:t>员工规模均超过</w:t>
      </w:r>
      <w:r w:rsidRPr="00401165">
        <w:t xml:space="preserve"> 300 </w:t>
      </w:r>
      <w:r w:rsidRPr="00401165">
        <w:t>名。调研总共发放问卷</w:t>
      </w:r>
      <w:r w:rsidRPr="00401165">
        <w:t xml:space="preserve"> 400 </w:t>
      </w:r>
      <w:r w:rsidRPr="00401165">
        <w:t>份</w:t>
      </w:r>
      <w:r w:rsidRPr="00401165">
        <w:t xml:space="preserve">, </w:t>
      </w:r>
      <w:r w:rsidRPr="00401165">
        <w:t>对员工及直接主管问卷进行配对</w:t>
      </w:r>
      <w:r w:rsidRPr="00401165">
        <w:t xml:space="preserve">, </w:t>
      </w:r>
      <w:r w:rsidRPr="00401165">
        <w:t>最终获得</w:t>
      </w:r>
      <w:r w:rsidRPr="00401165">
        <w:t xml:space="preserve"> 249 </w:t>
      </w:r>
      <w:proofErr w:type="gramStart"/>
      <w:r w:rsidRPr="00401165">
        <w:t>份有效</w:t>
      </w:r>
      <w:proofErr w:type="gramEnd"/>
      <w:r w:rsidRPr="00401165">
        <w:t>问卷</w:t>
      </w:r>
      <w:r w:rsidRPr="00401165">
        <w:t xml:space="preserve">, </w:t>
      </w:r>
      <w:r w:rsidRPr="00401165">
        <w:t>总有效回收率为</w:t>
      </w:r>
      <w:r w:rsidRPr="00401165">
        <w:t xml:space="preserve"> 62.3%</w:t>
      </w:r>
      <w:r w:rsidRPr="00401165">
        <w:t>。</w:t>
      </w:r>
    </w:p>
    <w:p w:rsidR="00401165" w:rsidRDefault="00401165">
      <w:pPr>
        <w:spacing w:line="312" w:lineRule="auto"/>
        <w:ind w:firstLineChars="200" w:firstLine="420"/>
      </w:pPr>
    </w:p>
    <w:p w:rsidR="004F2632" w:rsidRPr="004F2632" w:rsidRDefault="006427D3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736381">
        <w:t>积极应对策略和逃避应对策略的量表均来自于</w:t>
      </w:r>
      <w:r w:rsidRPr="00736381">
        <w:t xml:space="preserve"> Long (1990)</w:t>
      </w:r>
      <w:r w:rsidRPr="00736381">
        <w:t>的研究</w:t>
      </w:r>
      <w:r w:rsidRPr="00736381">
        <w:t xml:space="preserve">, </w:t>
      </w:r>
      <w:r w:rsidRPr="00736381">
        <w:t>积极应对策略量表包含</w:t>
      </w:r>
      <w:r w:rsidRPr="00736381">
        <w:t xml:space="preserve"> 11 </w:t>
      </w:r>
      <w:proofErr w:type="gramStart"/>
      <w:r w:rsidRPr="00736381">
        <w:t>个</w:t>
      </w:r>
      <w:proofErr w:type="gramEnd"/>
      <w:r w:rsidRPr="00736381">
        <w:t>条目</w:t>
      </w:r>
      <w:r w:rsidRPr="00736381">
        <w:t xml:space="preserve">, </w:t>
      </w:r>
      <w:r w:rsidRPr="00736381">
        <w:t>逃避应对策略量表包含</w:t>
      </w:r>
      <w:r w:rsidRPr="00736381">
        <w:t xml:space="preserve"> 17 </w:t>
      </w:r>
      <w:proofErr w:type="gramStart"/>
      <w:r w:rsidRPr="00736381">
        <w:t>个</w:t>
      </w:r>
      <w:proofErr w:type="gramEnd"/>
      <w:r w:rsidRPr="00736381">
        <w:t>条目。本研究中积极应对和逃避应对测量的内部一致性系数分别为</w:t>
      </w:r>
      <w:r w:rsidRPr="00736381">
        <w:t xml:space="preserve"> 0.92</w:t>
      </w:r>
      <w:r w:rsidRPr="00736381">
        <w:t>、</w:t>
      </w:r>
      <w:r w:rsidRPr="00736381">
        <w:t xml:space="preserve"> 0.96</w:t>
      </w:r>
      <w:r w:rsidRPr="00736381">
        <w:t>。</w:t>
      </w:r>
    </w:p>
    <w:p w:rsidR="00A06981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63450C" w:rsidRDefault="00EE7600" w:rsidP="0063450C">
      <w:pPr>
        <w:spacing w:line="312" w:lineRule="auto"/>
        <w:ind w:firstLine="420"/>
        <w:rPr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 w:rsidR="00672B09">
        <w:rPr>
          <w:rFonts w:ascii="Calibri" w:hAnsi="Calibri" w:cs="Calibri"/>
          <w:szCs w:val="21"/>
        </w:rPr>
        <w:t>28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</w:t>
      </w:r>
      <w:r w:rsidRPr="00EE7600">
        <w:rPr>
          <w:rFonts w:ascii="Calibri" w:hAnsi="Calibri" w:cs="Calibri" w:hint="eastAsia"/>
          <w:szCs w:val="21"/>
        </w:rPr>
        <w:lastRenderedPageBreak/>
        <w:t>在最符合的数字上划○。</w:t>
      </w:r>
      <w:r>
        <w:rPr>
          <w:rFonts w:ascii="Arial" w:hAnsi="Arial" w:cs="Arial"/>
          <w:color w:val="252525"/>
          <w:szCs w:val="21"/>
          <w:shd w:val="clear" w:color="auto" w:fill="FFFFFF"/>
        </w:rPr>
        <w:t>评价和判断的标准如下：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0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>完全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不同意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1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有点不同意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2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有点同意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/>
          <w:color w:val="252525"/>
          <w:szCs w:val="21"/>
          <w:shd w:val="clear" w:color="auto" w:fill="FFFFFF"/>
        </w:rPr>
        <w:t>3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  <w:r w:rsidR="0063450C">
        <w:rPr>
          <w:rFonts w:ascii="Arial" w:hAnsi="Arial" w:cs="Arial" w:hint="eastAsia"/>
          <w:color w:val="252525"/>
          <w:szCs w:val="21"/>
          <w:shd w:val="clear" w:color="auto" w:fill="FFFFFF"/>
        </w:rPr>
        <w:t>非常同意</w:t>
      </w:r>
    </w:p>
    <w:p w:rsidR="00EE7600" w:rsidRPr="0063450C" w:rsidRDefault="00EE7600" w:rsidP="0063450C">
      <w:pPr>
        <w:spacing w:line="312" w:lineRule="auto"/>
        <w:ind w:firstLine="420"/>
        <w:rPr>
          <w:rFonts w:ascii="Arial" w:hAnsi="Arial" w:cs="Arial"/>
          <w:color w:val="252525"/>
          <w:szCs w:val="21"/>
          <w:shd w:val="clear" w:color="auto" w:fill="FFFFFF"/>
        </w:rPr>
      </w:pP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3"/>
        <w:gridCol w:w="1734"/>
        <w:gridCol w:w="1734"/>
        <w:gridCol w:w="1734"/>
        <w:gridCol w:w="10"/>
        <w:gridCol w:w="340"/>
        <w:gridCol w:w="340"/>
        <w:gridCol w:w="340"/>
        <w:gridCol w:w="341"/>
      </w:tblGrid>
      <w:tr w:rsidR="0063450C" w:rsidRPr="004F2632" w:rsidTr="0063450C">
        <w:trPr>
          <w:gridAfter w:val="5"/>
          <w:wAfter w:w="1371" w:type="dxa"/>
        </w:trPr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完全不同意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有点不同意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有点同意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63450C" w:rsidRPr="004F2632" w:rsidRDefault="00672B09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672B09">
              <w:rPr>
                <w:rFonts w:asciiTheme="minorHAnsi" w:eastAsiaTheme="minorEastAsia" w:hAnsiTheme="minorHAnsi" w:cstheme="minorHAnsi" w:hint="eastAsia"/>
                <w:b/>
              </w:rPr>
              <w:t>非常同意</w:t>
            </w:r>
          </w:p>
        </w:tc>
      </w:tr>
      <w:tr w:rsidR="0063450C" w:rsidRPr="004F2632" w:rsidTr="0063450C">
        <w:trPr>
          <w:gridAfter w:val="5"/>
          <w:wAfter w:w="1371" w:type="dxa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3450C" w:rsidRPr="004F2632" w:rsidRDefault="0063450C" w:rsidP="0063450C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spacing w:line="312" w:lineRule="auto"/>
              <w:jc w:val="center"/>
            </w:pPr>
            <w:r w:rsidRPr="002B3FA5">
              <w:t>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>
            <w:pPr>
              <w:spacing w:line="312" w:lineRule="auto"/>
            </w:pPr>
            <w:r w:rsidRPr="002B3FA5">
              <w:t>Talked the problem over with colleagues.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2</w:t>
            </w:r>
          </w:p>
        </w:tc>
        <w:tc>
          <w:tcPr>
            <w:tcW w:w="6345" w:type="dxa"/>
            <w:gridSpan w:val="5"/>
            <w:shd w:val="clear" w:color="auto" w:fill="E0E0E0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Tried to get the person responsible to change his or her mind.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Talked to someone to find out more about the situation.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4</w:t>
            </w:r>
          </w:p>
        </w:tc>
        <w:tc>
          <w:tcPr>
            <w:tcW w:w="6345" w:type="dxa"/>
            <w:gridSpan w:val="5"/>
            <w:shd w:val="clear" w:color="auto" w:fill="E0E0E0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Confronted my supervisor with problems.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5</w:t>
            </w:r>
          </w:p>
        </w:tc>
        <w:tc>
          <w:tcPr>
            <w:tcW w:w="6345" w:type="dxa"/>
            <w:gridSpan w:val="5"/>
            <w:vAlign w:val="bottom"/>
          </w:tcPr>
          <w:p w:rsidR="00672B09" w:rsidRPr="002B3FA5" w:rsidRDefault="00672B09" w:rsidP="00672B09">
            <w:pPr>
              <w:spacing w:line="312" w:lineRule="auto"/>
            </w:pPr>
            <w:r w:rsidRPr="002B3FA5">
              <w:t>Talked to someone who could do something concrete about the</w:t>
            </w:r>
          </w:p>
          <w:p w:rsidR="0063450C" w:rsidRPr="002B3FA5" w:rsidRDefault="00672B09" w:rsidP="00672B09">
            <w:pPr>
              <w:spacing w:line="312" w:lineRule="auto"/>
            </w:pPr>
            <w:r w:rsidRPr="002B3FA5">
              <w:t>Problem.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6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Took a big chance or did something very risky.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Talked to someone about how I was feeling.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Stood my ground and fought for what I wanted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9</w:t>
            </w:r>
          </w:p>
        </w:tc>
        <w:tc>
          <w:tcPr>
            <w:tcW w:w="6345" w:type="dxa"/>
            <w:gridSpan w:val="5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Came up with a couple of different solutions to the problem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63450C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spacing w:line="312" w:lineRule="auto"/>
              <w:jc w:val="center"/>
            </w:pPr>
            <w:r w:rsidRPr="002B3FA5">
              <w:t>10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63450C" w:rsidRPr="002B3FA5" w:rsidRDefault="00672B09" w:rsidP="0063450C">
            <w:pPr>
              <w:spacing w:line="312" w:lineRule="auto"/>
            </w:pPr>
            <w:r w:rsidRPr="002B3FA5">
              <w:t>I went over in my mind what I would say or do.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3450C" w:rsidRPr="002B3FA5" w:rsidRDefault="0063450C" w:rsidP="006345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</w:pPr>
            <w:r w:rsidRPr="002B3FA5">
              <w:t>11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thought about how a person I admired would handle this situation</w:t>
            </w:r>
          </w:p>
          <w:p w:rsidR="002B3FA5" w:rsidRPr="002B3FA5" w:rsidRDefault="002B3FA5" w:rsidP="002B3FA5">
            <w:pPr>
              <w:spacing w:line="312" w:lineRule="auto"/>
            </w:pPr>
            <w:proofErr w:type="gramStart"/>
            <w:r w:rsidRPr="002B3FA5">
              <w:t>and</w:t>
            </w:r>
            <w:proofErr w:type="gramEnd"/>
            <w:r w:rsidRPr="002B3FA5">
              <w:t xml:space="preserve"> used that as a model.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12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Left work as soon as possible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Criticized or lectured myself.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14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Hoped a miracle would happen.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15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Went along with fate; sometimes I just have bad luck.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16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Slept more than usual.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tried to forget the whole thing.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Tried to make myself feel better by eating, drinking, smoking, using drugs or medication, etc.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19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Took it out on other people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20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Wished that I could change what happened or how I felt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21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I daydreamed or imagined a better time or place than the one I was in.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22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Wished that the situation would go away or somehow be over with.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23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Had fantasies or wishes about how things might turn out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24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Had a good cry.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25</w:t>
            </w:r>
          </w:p>
        </w:tc>
        <w:tc>
          <w:tcPr>
            <w:tcW w:w="6345" w:type="dxa"/>
            <w:gridSpan w:val="5"/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Expressed my irritation and frustration to myself.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lastRenderedPageBreak/>
              <w:t>26</w:t>
            </w:r>
          </w:p>
        </w:tc>
        <w:tc>
          <w:tcPr>
            <w:tcW w:w="6345" w:type="dxa"/>
            <w:gridSpan w:val="5"/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Avoided being with people in general.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27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Avoided other staff members.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  <w:tr w:rsidR="002B3FA5" w:rsidRPr="004F2632" w:rsidTr="002B3FA5">
        <w:tc>
          <w:tcPr>
            <w:tcW w:w="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spacing w:line="312" w:lineRule="auto"/>
              <w:jc w:val="center"/>
              <w:rPr>
                <w:rFonts w:eastAsiaTheme="minorEastAsia"/>
              </w:rPr>
            </w:pPr>
            <w:r w:rsidRPr="002B3FA5">
              <w:rPr>
                <w:rFonts w:eastAsiaTheme="minorEastAsia"/>
              </w:rPr>
              <w:t>28</w:t>
            </w:r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FA5" w:rsidRPr="002B3FA5" w:rsidRDefault="002B3FA5" w:rsidP="002B3FA5">
            <w:pPr>
              <w:spacing w:line="312" w:lineRule="auto"/>
            </w:pPr>
            <w:r w:rsidRPr="002B3FA5">
              <w:t>Expressed my irritation and frustration by swearing, slamming</w:t>
            </w:r>
            <w:r>
              <w:rPr>
                <w:rFonts w:hint="eastAsia"/>
              </w:rPr>
              <w:t xml:space="preserve"> </w:t>
            </w:r>
            <w:r w:rsidRPr="002B3FA5">
              <w:t>things down and crumpling paper, and so forth.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FA5" w:rsidRPr="002B3FA5" w:rsidRDefault="002B3FA5" w:rsidP="002B3FA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Theme="minorEastAsia"/>
                <w:b/>
                <w:szCs w:val="21"/>
              </w:rPr>
            </w:pPr>
            <w:r w:rsidRPr="002B3FA5">
              <w:rPr>
                <w:rFonts w:eastAsiaTheme="minorEastAsia"/>
                <w:b/>
                <w:szCs w:val="21"/>
              </w:rPr>
              <w:t>3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A06981" w:rsidRPr="00672B09" w:rsidRDefault="00102BEB" w:rsidP="00672B09">
      <w:pPr>
        <w:spacing w:line="312" w:lineRule="auto"/>
        <w:ind w:firstLineChars="200" w:firstLine="420"/>
      </w:pPr>
      <w:r>
        <w:t>应对策略量表分为积极应对和消极应对量表两部分</w:t>
      </w:r>
      <w:r>
        <w:rPr>
          <w:rFonts w:hint="eastAsia"/>
        </w:rPr>
        <w:t>。</w:t>
      </w:r>
      <w:r>
        <w:t>其中</w:t>
      </w:r>
      <w:bookmarkStart w:id="0" w:name="_GoBack"/>
      <w:bookmarkEnd w:id="0"/>
      <w:r w:rsidR="00672B09" w:rsidRPr="00736381">
        <w:t>积极应对策略量表包含</w:t>
      </w:r>
      <w:r w:rsidR="00672B09" w:rsidRPr="00736381">
        <w:t xml:space="preserve"> 11 </w:t>
      </w:r>
      <w:r w:rsidR="00672B09" w:rsidRPr="00736381">
        <w:t>个条目</w:t>
      </w:r>
      <w:r w:rsidR="00672B09">
        <w:rPr>
          <w:rFonts w:hint="eastAsia"/>
        </w:rPr>
        <w:t>：题</w:t>
      </w:r>
      <w:r w:rsidR="00672B09">
        <w:rPr>
          <w:rFonts w:hint="eastAsia"/>
        </w:rPr>
        <w:t>1</w:t>
      </w:r>
      <w:r w:rsidR="00672B09">
        <w:rPr>
          <w:rFonts w:hint="eastAsia"/>
        </w:rPr>
        <w:t>—题</w:t>
      </w:r>
      <w:r w:rsidR="00672B09">
        <w:rPr>
          <w:rFonts w:hint="eastAsia"/>
        </w:rPr>
        <w:t>11</w:t>
      </w:r>
      <w:r w:rsidR="00672B09">
        <w:rPr>
          <w:rFonts w:hint="eastAsia"/>
        </w:rPr>
        <w:t>；</w:t>
      </w:r>
      <w:r w:rsidR="00672B09" w:rsidRPr="00736381">
        <w:t>逃避应对策略量表包含</w:t>
      </w:r>
      <w:r w:rsidR="00672B09" w:rsidRPr="00736381">
        <w:t xml:space="preserve"> 17 </w:t>
      </w:r>
      <w:r w:rsidR="00672B09" w:rsidRPr="00736381">
        <w:t>个条目</w:t>
      </w:r>
      <w:r w:rsidR="00672B09">
        <w:rPr>
          <w:rFonts w:hint="eastAsia"/>
        </w:rPr>
        <w:t>：题</w:t>
      </w:r>
      <w:r w:rsidR="00672B09">
        <w:rPr>
          <w:rFonts w:hint="eastAsia"/>
        </w:rPr>
        <w:t>12</w:t>
      </w:r>
      <w:r w:rsidR="00672B09">
        <w:rPr>
          <w:rFonts w:hint="eastAsia"/>
        </w:rPr>
        <w:t>—题</w:t>
      </w:r>
      <w:r w:rsidR="00672B09">
        <w:rPr>
          <w:rFonts w:hint="eastAsia"/>
        </w:rPr>
        <w:t>28</w:t>
      </w:r>
      <w:r w:rsidR="00672B09">
        <w:rPr>
          <w:rFonts w:hint="eastAsia"/>
        </w:rPr>
        <w:t>。</w:t>
      </w:r>
      <w:r w:rsidR="00986E70" w:rsidRPr="004F2632">
        <w:rPr>
          <w:rFonts w:asciiTheme="minorHAnsi" w:eastAsiaTheme="minorEastAsia" w:hAnsiTheme="minorHAnsi" w:cstheme="minorHAnsi"/>
          <w:szCs w:val="21"/>
        </w:rPr>
        <w:t>可以计算题目的总分或平均分。</w:t>
      </w:r>
    </w:p>
    <w:p w:rsidR="00A06981" w:rsidRPr="004F2632" w:rsidRDefault="00A06981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A06981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E7600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EE7600">
        <w:t>谢俊</w:t>
      </w:r>
      <w:r>
        <w:rPr>
          <w:rFonts w:hint="eastAsia"/>
        </w:rPr>
        <w:t>，</w:t>
      </w:r>
      <w:r w:rsidRPr="00EE7600">
        <w:t>严鸣</w:t>
      </w:r>
      <w:r w:rsidRPr="00EE7600">
        <w:t xml:space="preserve">. (2016). </w:t>
      </w:r>
      <w:r w:rsidRPr="00EE7600">
        <w:t>积极应对还是逃避</w:t>
      </w:r>
      <w:proofErr w:type="gramStart"/>
      <w:r w:rsidRPr="00EE7600">
        <w:t>?,</w:t>
      </w:r>
      <w:proofErr w:type="gramEnd"/>
      <w:r w:rsidRPr="00EE7600">
        <w:t xml:space="preserve"> </w:t>
      </w:r>
      <w:r w:rsidRPr="00EE7600">
        <w:t>主动性人格对职场排斥与组织公民行为的影响机制</w:t>
      </w:r>
      <w:r w:rsidRPr="00EE7600">
        <w:t>. </w:t>
      </w:r>
      <w:r w:rsidRPr="00EE7600">
        <w:rPr>
          <w:i/>
          <w:iCs/>
        </w:rPr>
        <w:t>心理学报</w:t>
      </w:r>
      <w:r w:rsidRPr="00EE7600">
        <w:t>(10)</w:t>
      </w:r>
      <w:r>
        <w:t xml:space="preserve"> Vol. 48, 1314</w:t>
      </w:r>
      <w:r>
        <w:sym w:font="Symbol" w:char="F02D"/>
      </w:r>
      <w:r>
        <w:t>1325</w:t>
      </w:r>
    </w:p>
    <w:p w:rsidR="002B3FA5" w:rsidRDefault="002B3FA5">
      <w:pPr>
        <w:jc w:val="left"/>
        <w:rPr>
          <w:rFonts w:asciiTheme="minorHAnsi" w:eastAsiaTheme="minorEastAsia" w:hAnsiTheme="minorHAnsi" w:cstheme="minorHAnsi"/>
        </w:rPr>
      </w:pPr>
    </w:p>
    <w:p w:rsidR="00A06981" w:rsidRDefault="00672B09">
      <w:pPr>
        <w:jc w:val="left"/>
        <w:rPr>
          <w:rFonts w:asciiTheme="minorHAnsi" w:eastAsiaTheme="minorEastAsia" w:hAnsiTheme="minorHAnsi" w:cstheme="minorHAnsi"/>
        </w:rPr>
      </w:pPr>
      <w:r w:rsidRPr="00672B09">
        <w:rPr>
          <w:rFonts w:asciiTheme="minorHAnsi" w:eastAsiaTheme="minorEastAsia" w:hAnsiTheme="minorHAnsi" w:cstheme="minorHAnsi"/>
        </w:rPr>
        <w:t>Long, B. C. (1990). Relation between coping strategies, sex-typed traits, and environmental characteristics: a comparison of male and female managers. </w:t>
      </w:r>
      <w:r w:rsidRPr="00672B09">
        <w:rPr>
          <w:rFonts w:asciiTheme="minorHAnsi" w:eastAsiaTheme="minorEastAsia" w:hAnsiTheme="minorHAnsi" w:cstheme="minorHAnsi"/>
          <w:i/>
          <w:iCs/>
        </w:rPr>
        <w:t>Journal of Counseling Psychology,</w:t>
      </w:r>
      <w:r w:rsidRPr="00672B09">
        <w:rPr>
          <w:rFonts w:asciiTheme="minorHAnsi" w:eastAsiaTheme="minorEastAsia" w:hAnsiTheme="minorHAnsi" w:cstheme="minorHAnsi"/>
        </w:rPr>
        <w:t> </w:t>
      </w:r>
      <w:r w:rsidRPr="00672B09">
        <w:rPr>
          <w:rFonts w:asciiTheme="minorHAnsi" w:eastAsiaTheme="minorEastAsia" w:hAnsiTheme="minorHAnsi" w:cstheme="minorHAnsi"/>
          <w:i/>
          <w:iCs/>
        </w:rPr>
        <w:t>37</w:t>
      </w:r>
      <w:r w:rsidRPr="00672B09">
        <w:rPr>
          <w:rFonts w:asciiTheme="minorHAnsi" w:eastAsiaTheme="minorEastAsia" w:hAnsiTheme="minorHAnsi" w:cstheme="minorHAnsi"/>
        </w:rPr>
        <w:t>(37), 185-194.</w:t>
      </w:r>
    </w:p>
    <w:p w:rsidR="002B3FA5" w:rsidRPr="004F2632" w:rsidRDefault="002B3FA5">
      <w:pPr>
        <w:jc w:val="left"/>
        <w:rPr>
          <w:rFonts w:asciiTheme="minorHAnsi" w:eastAsiaTheme="minorEastAsia" w:hAnsiTheme="minorHAnsi" w:cstheme="minorHAnsi"/>
        </w:rPr>
      </w:pPr>
    </w:p>
    <w:p w:rsidR="00A06981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B8" w:rsidRDefault="00CE60B8">
      <w:r>
        <w:separator/>
      </w:r>
    </w:p>
  </w:endnote>
  <w:endnote w:type="continuationSeparator" w:id="0">
    <w:p w:rsidR="00CE60B8" w:rsidRDefault="00CE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81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B8" w:rsidRDefault="00CE60B8">
      <w:r>
        <w:separator/>
      </w:r>
    </w:p>
  </w:footnote>
  <w:footnote w:type="continuationSeparator" w:id="0">
    <w:p w:rsidR="00CE60B8" w:rsidRDefault="00CE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2BEB"/>
    <w:rsid w:val="00105314"/>
    <w:rsid w:val="0011748B"/>
    <w:rsid w:val="001E4847"/>
    <w:rsid w:val="00217175"/>
    <w:rsid w:val="00242EEA"/>
    <w:rsid w:val="00261D44"/>
    <w:rsid w:val="00271B4C"/>
    <w:rsid w:val="002731E8"/>
    <w:rsid w:val="00287E7C"/>
    <w:rsid w:val="00297111"/>
    <w:rsid w:val="002B3FA5"/>
    <w:rsid w:val="002C678D"/>
    <w:rsid w:val="002E577A"/>
    <w:rsid w:val="0034539C"/>
    <w:rsid w:val="00377C68"/>
    <w:rsid w:val="003B2F3F"/>
    <w:rsid w:val="003D2430"/>
    <w:rsid w:val="003E0B51"/>
    <w:rsid w:val="003E2909"/>
    <w:rsid w:val="003F26E8"/>
    <w:rsid w:val="003F636E"/>
    <w:rsid w:val="00401165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3450C"/>
    <w:rsid w:val="006427D3"/>
    <w:rsid w:val="00670F4B"/>
    <w:rsid w:val="00672B09"/>
    <w:rsid w:val="00675CCB"/>
    <w:rsid w:val="0068549E"/>
    <w:rsid w:val="006A1CB2"/>
    <w:rsid w:val="006A6136"/>
    <w:rsid w:val="006B0FE3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06981"/>
    <w:rsid w:val="00A17FD7"/>
    <w:rsid w:val="00A20290"/>
    <w:rsid w:val="00A25881"/>
    <w:rsid w:val="00A27734"/>
    <w:rsid w:val="00A42E6A"/>
    <w:rsid w:val="00A95BAD"/>
    <w:rsid w:val="00AA4086"/>
    <w:rsid w:val="00AC67FF"/>
    <w:rsid w:val="00AD5595"/>
    <w:rsid w:val="00B038DE"/>
    <w:rsid w:val="00B12B3F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465B9"/>
    <w:rsid w:val="00C74B09"/>
    <w:rsid w:val="00C74BA0"/>
    <w:rsid w:val="00C80D70"/>
    <w:rsid w:val="00CA1031"/>
    <w:rsid w:val="00CB3259"/>
    <w:rsid w:val="00CB67D0"/>
    <w:rsid w:val="00CC0234"/>
    <w:rsid w:val="00CE0B06"/>
    <w:rsid w:val="00CE60B8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492</Words>
  <Characters>2806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/>
  <LinksUpToDate>false</LinksUpToDate>
  <CharactersWithSpaces>3292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4</cp:revision>
  <dcterms:created xsi:type="dcterms:W3CDTF">2016-12-01T21:07:00Z</dcterms:created>
  <dcterms:modified xsi:type="dcterms:W3CDTF">2016-12-01T22:12:00Z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